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7E" w:rsidRPr="0002507E" w:rsidRDefault="0002507E" w:rsidP="00CD0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sz w:val="28"/>
          <w:szCs w:val="28"/>
        </w:rPr>
        <w:t>LỜI BÁC HỒ DẠY NGÀY NÀY NĂM XƯA</w:t>
      </w:r>
    </w:p>
    <w:p w:rsidR="0002507E" w:rsidRPr="0002507E" w:rsidRDefault="00585489" w:rsidP="00BC3A4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BC3A4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D0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0AA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CD0AA8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02507E" w:rsidRPr="0002507E" w:rsidRDefault="0002507E" w:rsidP="00BC3A4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41" w:rsidRPr="009C20C7" w:rsidRDefault="00BC3A41" w:rsidP="00BC3A41">
      <w:pPr>
        <w:shd w:val="clear" w:color="auto" w:fill="FFFFFF"/>
        <w:spacing w:before="120" w:after="120" w:line="276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thư</w:t>
      </w:r>
      <w:proofErr w:type="spellEnd"/>
      <w:proofErr w:type="gram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gửi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báo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viết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</w:rPr>
        <w:t>: </w:t>
      </w:r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võ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võ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tay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như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tay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trái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võ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</w:t>
      </w:r>
      <w:bookmarkStart w:id="0" w:name="_GoBack"/>
      <w:bookmarkEnd w:id="0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ăn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hoàn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Muốn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đua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bao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giờ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cùng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mãi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mãi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Càng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tiến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càng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thấy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càng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thêm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”.</w:t>
      </w:r>
    </w:p>
    <w:p w:rsidR="0002507E" w:rsidRPr="0002507E" w:rsidRDefault="0002507E" w:rsidP="00BC3A4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0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41" w:rsidRPr="009C20C7" w:rsidRDefault="00BC3A41" w:rsidP="00BC3A41">
      <w:pPr>
        <w:shd w:val="clear" w:color="auto" w:fill="FFFFFF"/>
        <w:spacing w:before="120" w:after="12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”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san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Tám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dốt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nát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20C7">
        <w:rPr>
          <w:rFonts w:ascii="Times New Roman" w:eastAsia="Times New Roman" w:hAnsi="Times New Roman" w:cs="Times New Roman"/>
          <w:sz w:val="28"/>
          <w:szCs w:val="28"/>
        </w:rPr>
        <w:t>ngu</w:t>
      </w:r>
      <w:proofErr w:type="spellEnd"/>
      <w:proofErr w:type="gram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3A41" w:rsidRPr="009C20C7" w:rsidRDefault="00BC3A41" w:rsidP="00BC3A41">
      <w:pPr>
        <w:shd w:val="clear" w:color="auto" w:fill="FFFFFF"/>
        <w:spacing w:before="120" w:after="12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ngợi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châm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BC3A41" w:rsidRPr="009C20C7" w:rsidRDefault="00BC3A41" w:rsidP="00BC3A41">
      <w:pPr>
        <w:shd w:val="clear" w:color="auto" w:fill="FFFFFF"/>
        <w:spacing w:before="120" w:after="12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nhuệ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C20C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C3A41" w:rsidRPr="009C20C7" w:rsidSect="00CD0AA8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5"/>
    <w:rsid w:val="0002507E"/>
    <w:rsid w:val="001E5686"/>
    <w:rsid w:val="00585489"/>
    <w:rsid w:val="007466D3"/>
    <w:rsid w:val="00AF13E6"/>
    <w:rsid w:val="00BA7085"/>
    <w:rsid w:val="00BC3A41"/>
    <w:rsid w:val="00CD0AA8"/>
    <w:rsid w:val="00EF78E2"/>
    <w:rsid w:val="00F2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C859-2994-4D5F-AA02-82248616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0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34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35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28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9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04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4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9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18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9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2023-07-12T01:11:00Z</dcterms:created>
  <dcterms:modified xsi:type="dcterms:W3CDTF">2023-07-12T01:11:00Z</dcterms:modified>
</cp:coreProperties>
</file>