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D88" w:rsidRPr="00842BC0" w:rsidRDefault="00D87D88" w:rsidP="00D87D88">
      <w:pPr>
        <w:jc w:val="center"/>
        <w:rPr>
          <w:bCs/>
          <w:sz w:val="26"/>
          <w:szCs w:val="26"/>
        </w:rPr>
      </w:pPr>
      <w:r>
        <w:rPr>
          <w:bCs/>
          <w:sz w:val="26"/>
          <w:szCs w:val="26"/>
        </w:rPr>
        <w:t>TUẦN 24</w:t>
      </w:r>
      <w:bookmarkStart w:id="0" w:name="_GoBack"/>
      <w:bookmarkEnd w:id="0"/>
      <w:r w:rsidRPr="00842BC0">
        <w:rPr>
          <w:bCs/>
          <w:sz w:val="26"/>
          <w:szCs w:val="26"/>
        </w:rPr>
        <w:t>: Thường thức mĩ thuật</w:t>
      </w:r>
    </w:p>
    <w:p w:rsidR="00D87D88" w:rsidRPr="00842BC0" w:rsidRDefault="00D87D88" w:rsidP="00D87D88">
      <w:pPr>
        <w:jc w:val="center"/>
        <w:rPr>
          <w:b/>
          <w:sz w:val="26"/>
          <w:szCs w:val="26"/>
        </w:rPr>
      </w:pPr>
      <w:r w:rsidRPr="00842BC0">
        <w:rPr>
          <w:b/>
          <w:sz w:val="26"/>
          <w:szCs w:val="26"/>
        </w:rPr>
        <w:t xml:space="preserve">SƠ LƯỢC VỀ MỸ THUẬT HIỆN ĐẠI PHƯƠNG TÂY      </w:t>
      </w:r>
    </w:p>
    <w:p w:rsidR="00D87D88" w:rsidRPr="00842BC0" w:rsidRDefault="00D87D88" w:rsidP="00D87D88">
      <w:pPr>
        <w:jc w:val="center"/>
        <w:rPr>
          <w:b/>
          <w:sz w:val="26"/>
          <w:szCs w:val="26"/>
        </w:rPr>
      </w:pPr>
      <w:r w:rsidRPr="00842BC0">
        <w:rPr>
          <w:b/>
          <w:sz w:val="26"/>
          <w:szCs w:val="26"/>
        </w:rPr>
        <w:t>TỪ  CUỐI THẾ KỶ XIX ĐẾN ĐẦU THẾ KỶ XX</w:t>
      </w:r>
    </w:p>
    <w:p w:rsidR="00D87D88" w:rsidRPr="0095733B" w:rsidRDefault="00D87D88" w:rsidP="00D87D88">
      <w:pPr>
        <w:rPr>
          <w:b/>
          <w:iCs/>
          <w:sz w:val="26"/>
          <w:szCs w:val="26"/>
        </w:rPr>
      </w:pPr>
      <w:r w:rsidRPr="0095733B">
        <w:rPr>
          <w:b/>
          <w:iCs/>
          <w:sz w:val="26"/>
          <w:szCs w:val="26"/>
        </w:rPr>
        <w:t>I. Vài nét về bối cảnh lịch sử</w:t>
      </w:r>
    </w:p>
    <w:p w:rsidR="00D87D88" w:rsidRPr="0095733B" w:rsidRDefault="00D87D88" w:rsidP="00D87D88">
      <w:pPr>
        <w:rPr>
          <w:sz w:val="26"/>
          <w:szCs w:val="26"/>
        </w:rPr>
      </w:pPr>
      <w:r w:rsidRPr="0095733B">
        <w:rPr>
          <w:sz w:val="26"/>
          <w:szCs w:val="26"/>
        </w:rPr>
        <w:t>- Công xã Pari 1871</w:t>
      </w:r>
    </w:p>
    <w:p w:rsidR="00D87D88" w:rsidRPr="0095733B" w:rsidRDefault="00D87D88" w:rsidP="00D87D88">
      <w:pPr>
        <w:rPr>
          <w:sz w:val="26"/>
          <w:szCs w:val="26"/>
        </w:rPr>
      </w:pPr>
      <w:r w:rsidRPr="0095733B">
        <w:rPr>
          <w:sz w:val="26"/>
          <w:szCs w:val="26"/>
        </w:rPr>
        <w:t>- Chiến tranh thế giới 1914-1918</w:t>
      </w:r>
    </w:p>
    <w:p w:rsidR="00D87D88" w:rsidRPr="0095733B" w:rsidRDefault="00D87D88" w:rsidP="00D87D88">
      <w:pPr>
        <w:rPr>
          <w:sz w:val="26"/>
          <w:szCs w:val="26"/>
        </w:rPr>
      </w:pPr>
      <w:r w:rsidRPr="0095733B">
        <w:rPr>
          <w:sz w:val="26"/>
          <w:szCs w:val="26"/>
        </w:rPr>
        <w:t>- Cách mạng tháng 10 Nga 1917</w:t>
      </w:r>
    </w:p>
    <w:p w:rsidR="00D87D88" w:rsidRPr="0095733B" w:rsidRDefault="00D87D88" w:rsidP="00D87D88">
      <w:pPr>
        <w:rPr>
          <w:sz w:val="26"/>
          <w:szCs w:val="26"/>
        </w:rPr>
      </w:pPr>
      <w:r w:rsidRPr="0095733B">
        <w:rPr>
          <w:sz w:val="26"/>
          <w:szCs w:val="26"/>
        </w:rPr>
        <w:t>*Những biến động lịch sử đã ảnh hưởng nhiều đến sự phát triển mỹ thuật.</w:t>
      </w:r>
    </w:p>
    <w:p w:rsidR="00D87D88" w:rsidRPr="0095733B" w:rsidRDefault="00D87D88" w:rsidP="00D87D88">
      <w:pPr>
        <w:rPr>
          <w:sz w:val="26"/>
          <w:szCs w:val="26"/>
        </w:rPr>
      </w:pPr>
    </w:p>
    <w:p w:rsidR="00D87D88" w:rsidRPr="0095733B" w:rsidRDefault="00D87D88" w:rsidP="00D87D88">
      <w:pPr>
        <w:rPr>
          <w:b/>
          <w:i/>
          <w:sz w:val="26"/>
          <w:szCs w:val="26"/>
        </w:rPr>
      </w:pPr>
    </w:p>
    <w:p w:rsidR="00D87D88" w:rsidRPr="0095733B" w:rsidRDefault="00D87D88" w:rsidP="00D87D88">
      <w:pPr>
        <w:rPr>
          <w:sz w:val="26"/>
          <w:szCs w:val="26"/>
        </w:rPr>
      </w:pPr>
    </w:p>
    <w:p w:rsidR="00D87D88" w:rsidRPr="0095733B" w:rsidRDefault="00D87D88" w:rsidP="00D87D88">
      <w:pPr>
        <w:jc w:val="both"/>
        <w:rPr>
          <w:b/>
          <w:iCs/>
          <w:sz w:val="26"/>
          <w:szCs w:val="26"/>
        </w:rPr>
      </w:pPr>
      <w:r w:rsidRPr="0095733B">
        <w:rPr>
          <w:b/>
          <w:iCs/>
          <w:sz w:val="26"/>
          <w:szCs w:val="26"/>
        </w:rPr>
        <w:t>II. Sơ lược về 1 số trường phái mỹ thuật</w:t>
      </w:r>
    </w:p>
    <w:p w:rsidR="00D87D88" w:rsidRDefault="00D87D88" w:rsidP="00D87D88">
      <w:pPr>
        <w:spacing w:line="360" w:lineRule="atLeast"/>
        <w:jc w:val="both"/>
        <w:rPr>
          <w:b/>
          <w:bCs/>
          <w:sz w:val="26"/>
          <w:szCs w:val="26"/>
        </w:rPr>
      </w:pPr>
      <w:r w:rsidRPr="0095733B">
        <w:rPr>
          <w:b/>
          <w:bCs/>
          <w:sz w:val="26"/>
          <w:szCs w:val="26"/>
        </w:rPr>
        <w:t>1.Trường phái hội họa Ấn tượng</w:t>
      </w:r>
    </w:p>
    <w:p w:rsidR="00D87D88" w:rsidRPr="0095733B" w:rsidRDefault="00D87D88" w:rsidP="00D87D88">
      <w:pPr>
        <w:spacing w:line="360" w:lineRule="atLeast"/>
        <w:jc w:val="both"/>
        <w:rPr>
          <w:b/>
          <w:bCs/>
          <w:sz w:val="26"/>
          <w:szCs w:val="26"/>
        </w:rPr>
      </w:pPr>
      <w:r w:rsidRPr="0095733B">
        <w:rPr>
          <w:noProof/>
          <w:lang w:val="en-US"/>
        </w:rPr>
        <w:drawing>
          <wp:inline distT="0" distB="0" distL="0" distR="0" wp14:anchorId="370DABAA" wp14:editId="227F62A4">
            <wp:extent cx="2781300" cy="1962150"/>
            <wp:effectExtent l="0" t="0" r="0" b="0"/>
            <wp:docPr id="3" name="Picture 3" descr="Description: Lịch sử mỹ thuật hội họa thế giới-Phần IX: Mỹ Thuật Các Nước Phương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Description: Lịch sử mỹ thuật hội họa thế giới-Phần IX: Mỹ Thuật Các Nước Phương Đô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1962150"/>
                    </a:xfrm>
                    <a:prstGeom prst="rect">
                      <a:avLst/>
                    </a:prstGeom>
                    <a:noFill/>
                    <a:ln>
                      <a:noFill/>
                    </a:ln>
                  </pic:spPr>
                </pic:pic>
              </a:graphicData>
            </a:graphic>
          </wp:inline>
        </w:drawing>
      </w:r>
    </w:p>
    <w:p w:rsidR="00D87D88" w:rsidRPr="0095733B" w:rsidRDefault="00D87D88" w:rsidP="00D87D88">
      <w:pPr>
        <w:spacing w:line="360" w:lineRule="atLeast"/>
        <w:jc w:val="both"/>
        <w:rPr>
          <w:sz w:val="26"/>
          <w:szCs w:val="26"/>
        </w:rPr>
      </w:pPr>
      <w:r w:rsidRPr="0095733B">
        <w:rPr>
          <w:sz w:val="26"/>
          <w:szCs w:val="26"/>
        </w:rPr>
        <w:t xml:space="preserve">- Từ những năm 60 của thế kỉ XIX một nhóm các hoạ sĩ trẻ ở Pari đã tỏ ra không chấp nhận lối vẽ kinh điến “khuôn vàng thước ngọc” của các hoạ sĩ lớp trước. </w:t>
      </w:r>
    </w:p>
    <w:p w:rsidR="00D87D88" w:rsidRPr="0095733B" w:rsidRDefault="00D87D88" w:rsidP="00D87D88">
      <w:pPr>
        <w:spacing w:line="360" w:lineRule="atLeast"/>
        <w:jc w:val="both"/>
        <w:rPr>
          <w:sz w:val="26"/>
          <w:szCs w:val="26"/>
        </w:rPr>
      </w:pPr>
      <w:r w:rsidRPr="0095733B">
        <w:rPr>
          <w:sz w:val="26"/>
          <w:szCs w:val="26"/>
        </w:rPr>
        <w:t xml:space="preserve">- Từ bức tranh </w:t>
      </w:r>
      <w:r w:rsidRPr="0095733B">
        <w:rPr>
          <w:i/>
          <w:sz w:val="26"/>
          <w:szCs w:val="26"/>
        </w:rPr>
        <w:t>Ấn tượng mặt trời mọc</w:t>
      </w:r>
      <w:r w:rsidRPr="0095733B">
        <w:rPr>
          <w:sz w:val="26"/>
          <w:szCs w:val="26"/>
        </w:rPr>
        <w:t xml:space="preserve"> của hoạ sĩ Mô-nê tại cuộc triển lãm năm 1874 tại Pari, đã lấy làm tên gọi cho trường phái sáng tác mới – trường phái Ấn tượng.</w:t>
      </w:r>
    </w:p>
    <w:p w:rsidR="00D87D88" w:rsidRPr="0095733B" w:rsidRDefault="00D87D88" w:rsidP="00D87D88">
      <w:pPr>
        <w:spacing w:line="360" w:lineRule="atLeast"/>
        <w:jc w:val="both"/>
        <w:rPr>
          <w:sz w:val="26"/>
          <w:szCs w:val="26"/>
        </w:rPr>
      </w:pPr>
      <w:r w:rsidRPr="0095733B">
        <w:rPr>
          <w:sz w:val="26"/>
          <w:szCs w:val="26"/>
        </w:rPr>
        <w:t>- Các hoạ sĩ ấn tượng cho rằng màu sắc thiên nhiên luôn luôn biến đổi tuỳ thuộc vào ánh sáng, khí quyển. Vì thế các hoạ sĩ rất chú trọng tới không gian, ánh sáng, màu sắc (đặc biệt là ánh sáng mặt trời chiếu vào cảnh vật, con người).</w:t>
      </w:r>
    </w:p>
    <w:p w:rsidR="00D87D88" w:rsidRPr="0095733B" w:rsidRDefault="00D87D88" w:rsidP="00D87D88">
      <w:pPr>
        <w:spacing w:line="360" w:lineRule="atLeast"/>
        <w:jc w:val="both"/>
        <w:rPr>
          <w:sz w:val="26"/>
          <w:szCs w:val="26"/>
        </w:rPr>
      </w:pPr>
      <w:r w:rsidRPr="0095733B">
        <w:rPr>
          <w:sz w:val="26"/>
          <w:szCs w:val="26"/>
        </w:rPr>
        <w:t>- Các tác giả tham gia: Pi-xa-rô, Đờga, Rơ-noa, Mô-nê, Ma-nê, …</w:t>
      </w:r>
    </w:p>
    <w:p w:rsidR="00D87D88" w:rsidRPr="0095733B" w:rsidRDefault="00D87D88" w:rsidP="00D87D88">
      <w:pPr>
        <w:spacing w:line="360" w:lineRule="atLeast"/>
        <w:jc w:val="both"/>
        <w:rPr>
          <w:sz w:val="26"/>
          <w:szCs w:val="26"/>
        </w:rPr>
      </w:pPr>
      <w:r w:rsidRPr="0095733B">
        <w:rPr>
          <w:sz w:val="26"/>
          <w:szCs w:val="26"/>
        </w:rPr>
        <w:t xml:space="preserve">- Các tác phẩm tiêu biểu: Ấn tượng mặt trời mọc (Mô-nê), </w:t>
      </w:r>
      <w:r w:rsidRPr="0095733B">
        <w:rPr>
          <w:i/>
          <w:sz w:val="26"/>
          <w:szCs w:val="26"/>
        </w:rPr>
        <w:t>Ngôi sao</w:t>
      </w:r>
      <w:r w:rsidRPr="0095733B">
        <w:rPr>
          <w:sz w:val="26"/>
          <w:szCs w:val="26"/>
        </w:rPr>
        <w:t xml:space="preserve"> (Đờga), </w:t>
      </w:r>
      <w:r w:rsidRPr="0095733B">
        <w:rPr>
          <w:i/>
          <w:sz w:val="26"/>
          <w:szCs w:val="26"/>
        </w:rPr>
        <w:t xml:space="preserve">Bữa ăn trên cỏ </w:t>
      </w:r>
      <w:r w:rsidRPr="0095733B">
        <w:rPr>
          <w:sz w:val="26"/>
          <w:szCs w:val="26"/>
        </w:rPr>
        <w:t xml:space="preserve">(Ma-nê), </w:t>
      </w:r>
      <w:r w:rsidRPr="0095733B">
        <w:rPr>
          <w:i/>
          <w:sz w:val="26"/>
          <w:szCs w:val="26"/>
        </w:rPr>
        <w:t xml:space="preserve">Bán khảo thân </w:t>
      </w:r>
      <w:r w:rsidRPr="0095733B">
        <w:rPr>
          <w:sz w:val="26"/>
          <w:szCs w:val="26"/>
        </w:rPr>
        <w:t>(Rơ-noa), …</w:t>
      </w:r>
    </w:p>
    <w:p w:rsidR="00D87D88" w:rsidRPr="0095733B" w:rsidRDefault="00D87D88" w:rsidP="00D87D88">
      <w:pPr>
        <w:spacing w:line="360" w:lineRule="atLeast"/>
        <w:jc w:val="both"/>
        <w:rPr>
          <w:sz w:val="26"/>
          <w:szCs w:val="26"/>
        </w:rPr>
      </w:pPr>
      <w:r w:rsidRPr="0095733B">
        <w:rPr>
          <w:sz w:val="26"/>
          <w:szCs w:val="26"/>
        </w:rPr>
        <w:t>- Một số hoạ sĩ tiếp thu, tìm tòi sâu hơn và đã có những dấu ấn cá nhân đặc biệt. Đó là trường phái hội hoạ Tân Ấn tượng với các hoạ sĩ: Xơ-ra, Pôn-xi-nhắc, …</w:t>
      </w:r>
    </w:p>
    <w:p w:rsidR="007A533F" w:rsidRDefault="00D87D88" w:rsidP="00D87D88">
      <w:pPr>
        <w:rPr>
          <w:sz w:val="26"/>
          <w:szCs w:val="26"/>
        </w:rPr>
      </w:pPr>
      <w:r w:rsidRPr="0095733B">
        <w:rPr>
          <w:sz w:val="26"/>
          <w:szCs w:val="26"/>
        </w:rPr>
        <w:t>- Một số hoạ sĩ muốn vượt qua những giới hạn của hội hoạ Ấn tượng đã tìm ra đường đi khác, đó là các hoạ sĩ hội hoạ Hậu Ấn tượng. Tiêu biểu là: Pôn-xê-dan, Pôn-gô-ganh, Van-gốc,</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51"/>
      </w:tblGrid>
      <w:tr w:rsidR="00D87D88" w:rsidRPr="00D87D88" w:rsidTr="00EA3091">
        <w:tc>
          <w:tcPr>
            <w:tcW w:w="4961" w:type="dxa"/>
            <w:shd w:val="clear" w:color="auto" w:fill="auto"/>
          </w:tcPr>
          <w:p w:rsidR="00D87D88" w:rsidRDefault="00D87D88" w:rsidP="00D87D88">
            <w:pPr>
              <w:spacing w:line="360" w:lineRule="atLeast"/>
              <w:jc w:val="both"/>
              <w:rPr>
                <w:b/>
                <w:bCs/>
                <w:sz w:val="26"/>
                <w:szCs w:val="26"/>
              </w:rPr>
            </w:pPr>
            <w:r w:rsidRPr="00D87D88">
              <w:rPr>
                <w:b/>
                <w:sz w:val="26"/>
                <w:szCs w:val="26"/>
              </w:rPr>
              <w:t>2.</w:t>
            </w:r>
            <w:r w:rsidRPr="00D87D88">
              <w:rPr>
                <w:sz w:val="26"/>
                <w:szCs w:val="26"/>
              </w:rPr>
              <w:t xml:space="preserve"> </w:t>
            </w:r>
            <w:r w:rsidRPr="00D87D88">
              <w:rPr>
                <w:b/>
                <w:bCs/>
                <w:sz w:val="26"/>
                <w:szCs w:val="26"/>
              </w:rPr>
              <w:t>Trường phái hội họa Dã Thú.</w:t>
            </w:r>
          </w:p>
          <w:p w:rsidR="00D87D88" w:rsidRPr="00D87D88" w:rsidRDefault="00D87D88" w:rsidP="00D87D88">
            <w:pPr>
              <w:spacing w:line="360" w:lineRule="atLeast"/>
              <w:jc w:val="both"/>
              <w:rPr>
                <w:sz w:val="26"/>
                <w:szCs w:val="26"/>
              </w:rPr>
            </w:pPr>
            <w:r w:rsidRPr="0095733B">
              <w:rPr>
                <w:noProof/>
                <w:lang w:val="en-US"/>
              </w:rPr>
              <w:lastRenderedPageBreak/>
              <w:drawing>
                <wp:inline distT="0" distB="0" distL="0" distR="0">
                  <wp:extent cx="2714625" cy="2809875"/>
                  <wp:effectExtent l="0" t="0" r="9525" b="9525"/>
                  <wp:docPr id="4" name="Picture 4" descr="Description: Gam màu táo bạo cùng kỹ thuật vẽ tối giản của Trường phái Dã th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Description: Gam màu táo bạo cùng kỹ thuật vẽ tối giản của Trường phái Dã th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2809875"/>
                          </a:xfrm>
                          <a:prstGeom prst="rect">
                            <a:avLst/>
                          </a:prstGeom>
                          <a:noFill/>
                          <a:ln>
                            <a:noFill/>
                          </a:ln>
                        </pic:spPr>
                      </pic:pic>
                    </a:graphicData>
                  </a:graphic>
                </wp:inline>
              </w:drawing>
            </w:r>
          </w:p>
          <w:p w:rsidR="00D87D88" w:rsidRPr="00D87D88" w:rsidRDefault="00D87D88" w:rsidP="00D87D88">
            <w:pPr>
              <w:spacing w:line="360" w:lineRule="atLeast"/>
              <w:jc w:val="both"/>
              <w:rPr>
                <w:sz w:val="26"/>
                <w:szCs w:val="26"/>
              </w:rPr>
            </w:pPr>
            <w:r w:rsidRPr="00D87D88">
              <w:rPr>
                <w:sz w:val="26"/>
                <w:szCs w:val="26"/>
              </w:rPr>
              <w:t>- Năm 1905 tại triển lãm “Mùa thu” ở Pari có một phòng tranh đầy màu sắc rực rỡ đến chói mắt, có một bức tượng nhỏ được tác theo phong cách nuột nà. Một nàh phê bình gọi đây là bức tượng nhỏ trong chuồng dã thú. Từ đó cái tên Dã thú được đặt cho trường phái hội hoạ mới này.</w:t>
            </w:r>
          </w:p>
          <w:p w:rsidR="00D87D88" w:rsidRPr="00D87D88" w:rsidRDefault="00D87D88" w:rsidP="00D87D88">
            <w:pPr>
              <w:spacing w:line="360" w:lineRule="atLeast"/>
              <w:jc w:val="both"/>
              <w:rPr>
                <w:sz w:val="26"/>
                <w:szCs w:val="26"/>
              </w:rPr>
            </w:pPr>
            <w:r w:rsidRPr="00D87D88">
              <w:rPr>
                <w:sz w:val="26"/>
                <w:szCs w:val="26"/>
              </w:rPr>
              <w:t xml:space="preserve">- Đặc điểm của trường phái hôi hoạ Dã thú: Các hoạ sĩ học ách nhìn thực tế qua đôi mắt hồn nhiên, tươi vui của trẻ thơ trong sáng tạo nghệ thuật. Họ không diấn tả khối, không vờn sáng tối mà còn chỉ là những mảng màu nguyên sắc, gay gắt, những đường viền mạnh bạo, dứt khoát, </w:t>
            </w:r>
          </w:p>
          <w:p w:rsidR="00D87D88" w:rsidRPr="00D87D88" w:rsidRDefault="00D87D88" w:rsidP="00D87D88">
            <w:pPr>
              <w:spacing w:line="360" w:lineRule="atLeast"/>
              <w:jc w:val="both"/>
              <w:rPr>
                <w:sz w:val="26"/>
                <w:szCs w:val="26"/>
              </w:rPr>
            </w:pPr>
            <w:r w:rsidRPr="00D87D88">
              <w:rPr>
                <w:sz w:val="26"/>
                <w:szCs w:val="26"/>
              </w:rPr>
              <w:t>- Các hoạ sĩ tiêu biểu: Ma-tit-xơ, Vla-manh, Van-đôn-ghen, Mac-kê, …</w:t>
            </w:r>
          </w:p>
          <w:p w:rsidR="00D87D88" w:rsidRPr="00D87D88" w:rsidRDefault="00D87D88" w:rsidP="00D87D88">
            <w:pPr>
              <w:spacing w:line="360" w:lineRule="atLeast"/>
              <w:jc w:val="both"/>
              <w:rPr>
                <w:i/>
                <w:sz w:val="26"/>
                <w:szCs w:val="26"/>
              </w:rPr>
            </w:pPr>
            <w:r w:rsidRPr="00D87D88">
              <w:rPr>
                <w:sz w:val="26"/>
                <w:szCs w:val="26"/>
              </w:rPr>
              <w:t xml:space="preserve">-Tác phẩm tiêu biểu: </w:t>
            </w:r>
            <w:r w:rsidRPr="00D87D88">
              <w:rPr>
                <w:i/>
                <w:sz w:val="26"/>
                <w:szCs w:val="26"/>
              </w:rPr>
              <w:t xml:space="preserve">Cá đỏ, Vũ điệu </w:t>
            </w:r>
            <w:r w:rsidRPr="00D87D88">
              <w:rPr>
                <w:sz w:val="26"/>
                <w:szCs w:val="26"/>
              </w:rPr>
              <w:t xml:space="preserve">(Ma-tit-xơ), </w:t>
            </w:r>
            <w:r w:rsidRPr="00D87D88">
              <w:rPr>
                <w:i/>
                <w:sz w:val="26"/>
                <w:szCs w:val="26"/>
              </w:rPr>
              <w:t xml:space="preserve">Hội hoá trang ở bãi biển </w:t>
            </w:r>
            <w:r w:rsidRPr="00D87D88">
              <w:rPr>
                <w:sz w:val="26"/>
                <w:szCs w:val="26"/>
              </w:rPr>
              <w:t xml:space="preserve">(Mac-kê), </w:t>
            </w:r>
            <w:r w:rsidRPr="00D87D88">
              <w:rPr>
                <w:i/>
                <w:sz w:val="26"/>
                <w:szCs w:val="26"/>
              </w:rPr>
              <w:t xml:space="preserve">Hoa diên vĩ, </w:t>
            </w:r>
          </w:p>
        </w:tc>
      </w:tr>
      <w:tr w:rsidR="00D87D88" w:rsidRPr="00D87D88" w:rsidTr="00EA3091">
        <w:tc>
          <w:tcPr>
            <w:tcW w:w="4961" w:type="dxa"/>
            <w:shd w:val="clear" w:color="auto" w:fill="auto"/>
          </w:tcPr>
          <w:p w:rsidR="00D87D88" w:rsidRDefault="00D87D88" w:rsidP="00D87D88">
            <w:pPr>
              <w:jc w:val="both"/>
              <w:rPr>
                <w:b/>
                <w:bCs/>
                <w:sz w:val="26"/>
                <w:szCs w:val="26"/>
              </w:rPr>
            </w:pPr>
            <w:r w:rsidRPr="00D87D88">
              <w:rPr>
                <w:b/>
                <w:bCs/>
                <w:sz w:val="26"/>
                <w:szCs w:val="26"/>
              </w:rPr>
              <w:lastRenderedPageBreak/>
              <w:t>3.Trường phái hội họa Lập thể</w:t>
            </w:r>
          </w:p>
          <w:p w:rsidR="00D87D88" w:rsidRPr="00D87D88" w:rsidRDefault="00D87D88" w:rsidP="00D87D88">
            <w:pPr>
              <w:jc w:val="both"/>
              <w:rPr>
                <w:b/>
                <w:bCs/>
                <w:sz w:val="26"/>
                <w:szCs w:val="26"/>
              </w:rPr>
            </w:pPr>
            <w:r w:rsidRPr="0095733B">
              <w:rPr>
                <w:noProof/>
                <w:sz w:val="26"/>
                <w:szCs w:val="26"/>
                <w:lang w:val="en-US"/>
              </w:rPr>
              <w:drawing>
                <wp:inline distT="0" distB="0" distL="0" distR="0">
                  <wp:extent cx="2085975" cy="1562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
                            <a:lum bright="22000" contrast="26000"/>
                            <a:extLst>
                              <a:ext uri="{28A0092B-C50C-407E-A947-70E740481C1C}">
                                <a14:useLocalDpi xmlns:a14="http://schemas.microsoft.com/office/drawing/2010/main" val="0"/>
                              </a:ext>
                            </a:extLst>
                          </a:blip>
                          <a:srcRect/>
                          <a:stretch>
                            <a:fillRect/>
                          </a:stretch>
                        </pic:blipFill>
                        <pic:spPr bwMode="auto">
                          <a:xfrm>
                            <a:off x="0" y="0"/>
                            <a:ext cx="2085975" cy="1562100"/>
                          </a:xfrm>
                          <a:prstGeom prst="rect">
                            <a:avLst/>
                          </a:prstGeom>
                          <a:noFill/>
                          <a:ln>
                            <a:noFill/>
                          </a:ln>
                        </pic:spPr>
                      </pic:pic>
                    </a:graphicData>
                  </a:graphic>
                </wp:inline>
              </w:drawing>
            </w:r>
          </w:p>
          <w:p w:rsidR="00D87D88" w:rsidRPr="00D87D88" w:rsidRDefault="00D87D88" w:rsidP="00D87D88">
            <w:pPr>
              <w:jc w:val="both"/>
              <w:rPr>
                <w:sz w:val="26"/>
                <w:szCs w:val="26"/>
              </w:rPr>
            </w:pPr>
            <w:r w:rsidRPr="00D87D88">
              <w:rPr>
                <w:sz w:val="26"/>
                <w:szCs w:val="26"/>
              </w:rPr>
              <w:t xml:space="preserve">- Ra đời tai Pháp năm 1907, tiếp theo trường phái hội hoạ Dã thú, được đánh dấu từ bức tranh </w:t>
            </w:r>
            <w:r w:rsidRPr="00D87D88">
              <w:rPr>
                <w:i/>
                <w:sz w:val="26"/>
                <w:szCs w:val="26"/>
              </w:rPr>
              <w:t xml:space="preserve">Những cô gái A-vi-nhông </w:t>
            </w:r>
            <w:r w:rsidRPr="00D87D88">
              <w:rPr>
                <w:sz w:val="26"/>
                <w:szCs w:val="26"/>
              </w:rPr>
              <w:t xml:space="preserve">(Pi-cat-sô) và </w:t>
            </w:r>
            <w:r w:rsidRPr="00D87D88">
              <w:rPr>
                <w:i/>
                <w:sz w:val="26"/>
                <w:szCs w:val="26"/>
              </w:rPr>
              <w:t xml:space="preserve">Nuy </w:t>
            </w:r>
            <w:r w:rsidRPr="00D87D88">
              <w:rPr>
                <w:sz w:val="26"/>
                <w:szCs w:val="26"/>
              </w:rPr>
              <w:t>của Brắc-cơ.</w:t>
            </w:r>
          </w:p>
          <w:p w:rsidR="00D87D88" w:rsidRPr="00D87D88" w:rsidRDefault="00D87D88" w:rsidP="00D87D88">
            <w:pPr>
              <w:jc w:val="both"/>
              <w:rPr>
                <w:sz w:val="26"/>
                <w:szCs w:val="26"/>
              </w:rPr>
            </w:pPr>
            <w:r w:rsidRPr="00D87D88">
              <w:rPr>
                <w:sz w:val="26"/>
                <w:szCs w:val="26"/>
              </w:rPr>
              <w:t>- Các hoạ sĩ đã dựa trên cơ sở của bản phác hình hình học để diễn tả tất cả cảnh vật, dung mạo con người, nhà cửa,… Họ tập trung phân tích, giản lược hoá hình thể bằng những hình kỉ hà, những khối khình lập phương, hình ống, …</w:t>
            </w:r>
          </w:p>
          <w:p w:rsidR="00D87D88" w:rsidRPr="00D87D88" w:rsidRDefault="00D87D88" w:rsidP="00D87D88">
            <w:pPr>
              <w:jc w:val="both"/>
              <w:rPr>
                <w:sz w:val="26"/>
                <w:szCs w:val="26"/>
              </w:rPr>
            </w:pPr>
            <w:r w:rsidRPr="00D87D88">
              <w:rPr>
                <w:sz w:val="26"/>
                <w:szCs w:val="26"/>
              </w:rPr>
              <w:lastRenderedPageBreak/>
              <w:t>- Hoạ sĩ tiêu biểu: Brắc-cơ, Pi-cat-sô,…</w:t>
            </w:r>
          </w:p>
          <w:p w:rsidR="00D87D88" w:rsidRPr="00D87D88" w:rsidRDefault="00D87D88" w:rsidP="00D87D88">
            <w:pPr>
              <w:jc w:val="both"/>
              <w:rPr>
                <w:sz w:val="26"/>
                <w:szCs w:val="26"/>
              </w:rPr>
            </w:pPr>
            <w:r w:rsidRPr="00D87D88">
              <w:rPr>
                <w:sz w:val="26"/>
                <w:szCs w:val="26"/>
              </w:rPr>
              <w:t xml:space="preserve">- Tác phẩm tiêu biểu: </w:t>
            </w:r>
            <w:r w:rsidRPr="00D87D88">
              <w:rPr>
                <w:i/>
                <w:sz w:val="26"/>
                <w:szCs w:val="26"/>
              </w:rPr>
              <w:t xml:space="preserve">Những cô gái A-vi-nhông, </w:t>
            </w:r>
            <w:r w:rsidRPr="00D87D88">
              <w:rPr>
                <w:sz w:val="26"/>
                <w:szCs w:val="26"/>
              </w:rPr>
              <w:t xml:space="preserve"> </w:t>
            </w:r>
            <w:r w:rsidRPr="00D87D88">
              <w:rPr>
                <w:i/>
                <w:sz w:val="26"/>
                <w:szCs w:val="26"/>
              </w:rPr>
              <w:t xml:space="preserve">Chân dung Kan-oai-lơ </w:t>
            </w:r>
            <w:r w:rsidRPr="00D87D88">
              <w:rPr>
                <w:sz w:val="26"/>
                <w:szCs w:val="26"/>
              </w:rPr>
              <w:t xml:space="preserve">(Pi-cat-sô), </w:t>
            </w:r>
            <w:r w:rsidRPr="00D87D88">
              <w:rPr>
                <w:i/>
                <w:sz w:val="26"/>
                <w:szCs w:val="26"/>
              </w:rPr>
              <w:t>người đàn bà và cây đàn ghi ta</w:t>
            </w:r>
            <w:r w:rsidRPr="00D87D88">
              <w:rPr>
                <w:sz w:val="26"/>
                <w:szCs w:val="26"/>
              </w:rPr>
              <w:t xml:space="preserve"> (Brắc-cơ), …</w:t>
            </w:r>
          </w:p>
        </w:tc>
      </w:tr>
    </w:tbl>
    <w:p w:rsidR="00D87D88" w:rsidRDefault="00D87D88" w:rsidP="00D87D88"/>
    <w:sectPr w:rsidR="00D8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88"/>
    <w:rsid w:val="007A533F"/>
    <w:rsid w:val="00D8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7D27"/>
  <w15:chartTrackingRefBased/>
  <w15:docId w15:val="{A2D9FFD3-BE2A-43AD-BCA2-A36FBE6F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D88"/>
    <w:pPr>
      <w:spacing w:after="0" w:line="240" w:lineRule="auto"/>
    </w:pPr>
    <w:rPr>
      <w:rFonts w:eastAsia="Times New Roman" w:cs="Times New Roman"/>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2022-03-14T15:24:00Z</dcterms:created>
  <dcterms:modified xsi:type="dcterms:W3CDTF">2022-03-14T15:29:00Z</dcterms:modified>
</cp:coreProperties>
</file>