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0" w:type="dxa"/>
          <w:right w:w="0" w:type="dxa"/>
        </w:tblCellMar>
        <w:tblLook w:val="04A0" w:firstRow="1" w:lastRow="0" w:firstColumn="1" w:lastColumn="0" w:noHBand="0" w:noVBand="1"/>
      </w:tblPr>
      <w:tblGrid>
        <w:gridCol w:w="3689"/>
        <w:gridCol w:w="5887"/>
      </w:tblGrid>
      <w:tr w:rsidR="00612B7B" w:rsidRPr="00612B7B" w:rsidTr="00612B7B">
        <w:trPr>
          <w:trHeight w:val="600"/>
          <w:jc w:val="center"/>
        </w:trPr>
        <w:tc>
          <w:tcPr>
            <w:tcW w:w="3467" w:type="dxa"/>
            <w:tcMar>
              <w:top w:w="0" w:type="dxa"/>
              <w:left w:w="108" w:type="dxa"/>
              <w:bottom w:w="0" w:type="dxa"/>
              <w:right w:w="108" w:type="dxa"/>
            </w:tcMar>
            <w:hideMark/>
          </w:tcPr>
          <w:p w:rsidR="00612B7B" w:rsidRPr="00D40865" w:rsidRDefault="00612B7B" w:rsidP="00331EF2">
            <w:pPr>
              <w:spacing w:before="100" w:beforeAutospacing="1" w:after="100" w:afterAutospacing="1" w:line="240" w:lineRule="auto"/>
              <w:jc w:val="center"/>
              <w:rPr>
                <w:rFonts w:ascii="Times New Roman" w:eastAsia="Times New Roman" w:hAnsi="Times New Roman" w:cs="Times New Roman"/>
                <w:color w:val="222222"/>
                <w:sz w:val="24"/>
                <w:szCs w:val="24"/>
              </w:rPr>
            </w:pPr>
            <w:r w:rsidRPr="00D40865">
              <w:rPr>
                <w:rFonts w:ascii="Times New Roman" w:eastAsia="Times New Roman" w:hAnsi="Times New Roman" w:cs="Times New Roman"/>
                <w:b/>
                <w:bCs/>
                <w:sz w:val="24"/>
                <w:szCs w:val="24"/>
                <w:lang w:val="vi-VN"/>
              </w:rPr>
              <w:t>BỘ GIÁO DỤC VÀ ĐÀO TẠO</w:t>
            </w:r>
          </w:p>
          <w:p w:rsidR="00612B7B" w:rsidRPr="00D40865" w:rsidRDefault="00612B7B" w:rsidP="00331EF2">
            <w:pPr>
              <w:spacing w:before="100" w:beforeAutospacing="1" w:after="100" w:afterAutospacing="1" w:line="240" w:lineRule="auto"/>
              <w:jc w:val="center"/>
              <w:rPr>
                <w:rFonts w:ascii="Times New Roman" w:eastAsia="Times New Roman" w:hAnsi="Times New Roman" w:cs="Times New Roman"/>
                <w:color w:val="222222"/>
                <w:sz w:val="24"/>
                <w:szCs w:val="24"/>
              </w:rPr>
            </w:pPr>
            <w:r w:rsidRPr="00D40865">
              <w:rPr>
                <w:rFonts w:ascii="Times New Roman" w:eastAsia="Times New Roman" w:hAnsi="Times New Roman" w:cs="Times New Roman"/>
                <w:sz w:val="24"/>
                <w:szCs w:val="24"/>
                <w:vertAlign w:val="superscript"/>
              </w:rPr>
              <w:t>_____________</w:t>
            </w:r>
          </w:p>
          <w:p w:rsidR="00612B7B" w:rsidRPr="00D40865" w:rsidRDefault="00612B7B" w:rsidP="00331EF2">
            <w:pPr>
              <w:spacing w:before="100" w:beforeAutospacing="1" w:after="100" w:afterAutospacing="1" w:line="240" w:lineRule="auto"/>
              <w:jc w:val="center"/>
              <w:rPr>
                <w:rFonts w:ascii="Times New Roman" w:eastAsia="Times New Roman" w:hAnsi="Times New Roman" w:cs="Times New Roman"/>
                <w:color w:val="222222"/>
                <w:sz w:val="24"/>
                <w:szCs w:val="24"/>
              </w:rPr>
            </w:pPr>
            <w:r w:rsidRPr="00D40865">
              <w:rPr>
                <w:rFonts w:ascii="Times New Roman" w:eastAsia="Times New Roman" w:hAnsi="Times New Roman" w:cs="Times New Roman"/>
                <w:sz w:val="24"/>
                <w:szCs w:val="24"/>
                <w:lang w:val="vi-VN"/>
              </w:rPr>
              <w:t>Số: 26/2020/TT-BGDĐT</w:t>
            </w:r>
          </w:p>
        </w:tc>
        <w:tc>
          <w:tcPr>
            <w:tcW w:w="5533" w:type="dxa"/>
            <w:tcMar>
              <w:top w:w="0" w:type="dxa"/>
              <w:left w:w="108" w:type="dxa"/>
              <w:bottom w:w="0" w:type="dxa"/>
              <w:right w:w="108" w:type="dxa"/>
            </w:tcMar>
            <w:hideMark/>
          </w:tcPr>
          <w:p w:rsidR="00612B7B" w:rsidRPr="00D40865" w:rsidRDefault="00612B7B" w:rsidP="00331EF2">
            <w:pPr>
              <w:spacing w:before="100" w:beforeAutospacing="1" w:after="100" w:afterAutospacing="1" w:line="240" w:lineRule="auto"/>
              <w:jc w:val="center"/>
              <w:rPr>
                <w:rFonts w:ascii="Times New Roman" w:eastAsia="Times New Roman" w:hAnsi="Times New Roman" w:cs="Times New Roman"/>
                <w:color w:val="222222"/>
                <w:sz w:val="24"/>
                <w:szCs w:val="24"/>
              </w:rPr>
            </w:pPr>
            <w:r w:rsidRPr="00D40865">
              <w:rPr>
                <w:rFonts w:ascii="Times New Roman" w:eastAsia="Times New Roman" w:hAnsi="Times New Roman" w:cs="Times New Roman"/>
                <w:b/>
                <w:bCs/>
                <w:sz w:val="24"/>
                <w:szCs w:val="24"/>
                <w:lang w:val="vi-VN"/>
              </w:rPr>
              <w:t>CỘNG HOÀ XÃ HỘI CHỦ NGHĨA VIỆT NAM</w:t>
            </w:r>
          </w:p>
          <w:p w:rsidR="00612B7B" w:rsidRPr="00D40865" w:rsidRDefault="00612B7B" w:rsidP="00331EF2">
            <w:pPr>
              <w:spacing w:before="100" w:beforeAutospacing="1" w:after="100" w:afterAutospacing="1" w:line="240" w:lineRule="auto"/>
              <w:jc w:val="center"/>
              <w:rPr>
                <w:rFonts w:ascii="Times New Roman" w:eastAsia="Times New Roman" w:hAnsi="Times New Roman" w:cs="Times New Roman"/>
                <w:color w:val="222222"/>
                <w:sz w:val="24"/>
                <w:szCs w:val="24"/>
              </w:rPr>
            </w:pPr>
            <w:r w:rsidRPr="00D40865">
              <w:rPr>
                <w:rFonts w:ascii="Times New Roman" w:eastAsia="Times New Roman" w:hAnsi="Times New Roman" w:cs="Times New Roman"/>
                <w:b/>
                <w:bCs/>
                <w:sz w:val="24"/>
                <w:szCs w:val="24"/>
                <w:lang w:val="vi-VN"/>
              </w:rPr>
              <w:t>Độc lập - Tự do - Hạnh phúc</w:t>
            </w:r>
          </w:p>
          <w:p w:rsidR="00612B7B" w:rsidRPr="00D40865" w:rsidRDefault="00612B7B" w:rsidP="00331EF2">
            <w:pPr>
              <w:spacing w:before="100" w:beforeAutospacing="1" w:after="100" w:afterAutospacing="1" w:line="240" w:lineRule="auto"/>
              <w:jc w:val="center"/>
              <w:rPr>
                <w:rFonts w:ascii="Times New Roman" w:eastAsia="Times New Roman" w:hAnsi="Times New Roman" w:cs="Times New Roman"/>
                <w:color w:val="222222"/>
                <w:sz w:val="24"/>
                <w:szCs w:val="24"/>
              </w:rPr>
            </w:pPr>
            <w:r w:rsidRPr="00D40865">
              <w:rPr>
                <w:rFonts w:ascii="Times New Roman" w:eastAsia="Times New Roman" w:hAnsi="Times New Roman" w:cs="Times New Roman"/>
                <w:sz w:val="24"/>
                <w:szCs w:val="24"/>
                <w:vertAlign w:val="superscript"/>
                <w:lang w:val="vi-VN"/>
              </w:rPr>
              <w:t>________________________</w:t>
            </w:r>
          </w:p>
          <w:p w:rsidR="00612B7B" w:rsidRPr="00D40865" w:rsidRDefault="00612B7B" w:rsidP="00331EF2">
            <w:pPr>
              <w:spacing w:before="100" w:beforeAutospacing="1" w:after="100" w:afterAutospacing="1" w:line="240" w:lineRule="auto"/>
              <w:jc w:val="center"/>
              <w:rPr>
                <w:rFonts w:ascii="Times New Roman" w:eastAsia="Times New Roman" w:hAnsi="Times New Roman" w:cs="Times New Roman"/>
                <w:color w:val="222222"/>
                <w:sz w:val="24"/>
                <w:szCs w:val="24"/>
              </w:rPr>
            </w:pPr>
            <w:r w:rsidRPr="00D40865">
              <w:rPr>
                <w:rFonts w:ascii="Times New Roman" w:eastAsia="Times New Roman" w:hAnsi="Times New Roman" w:cs="Times New Roman"/>
                <w:i/>
                <w:iCs/>
                <w:sz w:val="24"/>
                <w:szCs w:val="24"/>
                <w:lang w:val="vi-VN"/>
              </w:rPr>
              <w:t>Hà Nội, ngày 26 tháng 8 năm 2020</w:t>
            </w:r>
          </w:p>
        </w:tc>
        <w:bookmarkStart w:id="0" w:name="_GoBack"/>
        <w:bookmarkEnd w:id="0"/>
      </w:tr>
    </w:tbl>
    <w:p w:rsidR="00612B7B" w:rsidRPr="00612B7B" w:rsidRDefault="00612B7B" w:rsidP="00331EF2">
      <w:pPr>
        <w:spacing w:after="0" w:line="240" w:lineRule="auto"/>
        <w:jc w:val="center"/>
        <w:rPr>
          <w:rFonts w:ascii="Times New Roman" w:eastAsia="Times New Roman" w:hAnsi="Times New Roman" w:cs="Times New Roman"/>
          <w:color w:val="222222"/>
          <w:sz w:val="28"/>
          <w:szCs w:val="28"/>
        </w:rPr>
      </w:pPr>
      <w:r w:rsidRPr="00612B7B">
        <w:rPr>
          <w:rFonts w:ascii="Times New Roman" w:eastAsia="Times New Roman" w:hAnsi="Times New Roman" w:cs="Times New Roman"/>
          <w:b/>
          <w:bCs/>
          <w:color w:val="222222"/>
          <w:sz w:val="28"/>
          <w:szCs w:val="28"/>
          <w:lang w:val="vi-VN"/>
        </w:rPr>
        <w:t>THÔNG TƯ</w:t>
      </w:r>
    </w:p>
    <w:p w:rsidR="00612B7B" w:rsidRPr="00612B7B" w:rsidRDefault="00612B7B" w:rsidP="00331EF2">
      <w:pPr>
        <w:spacing w:after="0" w:line="240" w:lineRule="auto"/>
        <w:jc w:val="center"/>
        <w:rPr>
          <w:rFonts w:ascii="Times New Roman" w:eastAsia="Times New Roman" w:hAnsi="Times New Roman" w:cs="Times New Roman"/>
          <w:color w:val="222222"/>
          <w:sz w:val="28"/>
          <w:szCs w:val="28"/>
        </w:rPr>
      </w:pPr>
      <w:r w:rsidRPr="00612B7B">
        <w:rPr>
          <w:rFonts w:ascii="Times New Roman" w:eastAsia="Times New Roman" w:hAnsi="Times New Roman" w:cs="Times New Roman"/>
          <w:b/>
          <w:bCs/>
          <w:color w:val="222222"/>
          <w:sz w:val="28"/>
          <w:szCs w:val="28"/>
          <w:lang w:val="vi-VN"/>
        </w:rPr>
        <w:t>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p>
    <w:p w:rsidR="00612B7B" w:rsidRPr="00612B7B" w:rsidRDefault="00612B7B" w:rsidP="00331EF2">
      <w:pPr>
        <w:spacing w:after="0" w:line="240" w:lineRule="auto"/>
        <w:jc w:val="center"/>
        <w:rPr>
          <w:rFonts w:ascii="Times New Roman" w:eastAsia="Times New Roman" w:hAnsi="Times New Roman" w:cs="Times New Roman"/>
          <w:color w:val="222222"/>
          <w:sz w:val="28"/>
          <w:szCs w:val="28"/>
        </w:rPr>
      </w:pPr>
      <w:r w:rsidRPr="00612B7B">
        <w:rPr>
          <w:rFonts w:ascii="Times New Roman" w:eastAsia="Times New Roman" w:hAnsi="Times New Roman" w:cs="Times New Roman"/>
          <w:color w:val="222222"/>
          <w:sz w:val="28"/>
          <w:szCs w:val="28"/>
          <w:vertAlign w:val="superscript"/>
        </w:rPr>
        <w:t>_________</w:t>
      </w:r>
    </w:p>
    <w:p w:rsidR="00612B7B" w:rsidRPr="00612B7B" w:rsidRDefault="00612B7B" w:rsidP="00331EF2">
      <w:pPr>
        <w:spacing w:after="120" w:line="240" w:lineRule="auto"/>
        <w:ind w:firstLine="720"/>
        <w:rPr>
          <w:rFonts w:ascii="Times New Roman" w:eastAsia="Times New Roman" w:hAnsi="Times New Roman" w:cs="Times New Roman"/>
          <w:color w:val="222222"/>
          <w:sz w:val="28"/>
          <w:szCs w:val="28"/>
        </w:rPr>
      </w:pPr>
      <w:r w:rsidRPr="00612B7B">
        <w:rPr>
          <w:rFonts w:ascii="Times New Roman" w:eastAsia="Times New Roman" w:hAnsi="Times New Roman" w:cs="Times New Roman"/>
          <w:i/>
          <w:iCs/>
          <w:color w:val="222222"/>
          <w:sz w:val="28"/>
          <w:szCs w:val="28"/>
          <w:lang w:val="vi-VN"/>
        </w:rPr>
        <w:t>Căn cứ Luật Giáo dục ngày 14 tháng 6 năm 2019;</w:t>
      </w:r>
    </w:p>
    <w:p w:rsidR="00612B7B" w:rsidRPr="00612B7B" w:rsidRDefault="00612B7B" w:rsidP="00331EF2">
      <w:pPr>
        <w:spacing w:after="120" w:line="240" w:lineRule="auto"/>
        <w:ind w:firstLine="720"/>
        <w:rPr>
          <w:rFonts w:ascii="Times New Roman" w:eastAsia="Times New Roman" w:hAnsi="Times New Roman" w:cs="Times New Roman"/>
          <w:color w:val="222222"/>
          <w:sz w:val="28"/>
          <w:szCs w:val="28"/>
        </w:rPr>
      </w:pPr>
      <w:r w:rsidRPr="00612B7B">
        <w:rPr>
          <w:rFonts w:ascii="Times New Roman" w:eastAsia="Times New Roman" w:hAnsi="Times New Roman" w:cs="Times New Roman"/>
          <w:i/>
          <w:iCs/>
          <w:color w:val="222222"/>
          <w:sz w:val="28"/>
          <w:szCs w:val="28"/>
          <w:lang w:val="vi-VN"/>
        </w:rPr>
        <w:t>Căn cứ Nghị định số 69/2017/NĐ-CP ngày 25 tháng 5 năm 2017 của Chính phủ quy định chức năng, nhiệm vụ, quyền hạn và cơ cấu tổ chức của Bộ Giáo dục và Đào tạo;</w:t>
      </w:r>
    </w:p>
    <w:p w:rsidR="00612B7B" w:rsidRPr="00612B7B" w:rsidRDefault="00612B7B" w:rsidP="00331EF2">
      <w:pPr>
        <w:spacing w:after="120" w:line="240" w:lineRule="auto"/>
        <w:ind w:firstLine="720"/>
        <w:rPr>
          <w:rFonts w:ascii="Times New Roman" w:eastAsia="Times New Roman" w:hAnsi="Times New Roman" w:cs="Times New Roman"/>
          <w:color w:val="222222"/>
          <w:sz w:val="28"/>
          <w:szCs w:val="28"/>
        </w:rPr>
      </w:pPr>
      <w:r w:rsidRPr="00612B7B">
        <w:rPr>
          <w:rFonts w:ascii="Times New Roman" w:eastAsia="Times New Roman" w:hAnsi="Times New Roman" w:cs="Times New Roman"/>
          <w:i/>
          <w:iCs/>
          <w:color w:val="222222"/>
          <w:sz w:val="28"/>
          <w:szCs w:val="28"/>
          <w:lang w:val="vi-VN"/>
        </w:rPr>
        <w:t>Căn cứ Quyết định số 16/2006/QĐ-BGDĐT ngày 05 tháng 5 năm 2006 của Bộ trưởng Bộ Giáo dục và Đào tạo ban hành Chương trình giáo dục phổ thông;</w:t>
      </w:r>
    </w:p>
    <w:p w:rsidR="00612B7B" w:rsidRPr="00612B7B" w:rsidRDefault="00612B7B" w:rsidP="00331EF2">
      <w:pPr>
        <w:spacing w:after="120" w:line="240" w:lineRule="auto"/>
        <w:ind w:firstLine="720"/>
        <w:rPr>
          <w:rFonts w:ascii="Times New Roman" w:eastAsia="Times New Roman" w:hAnsi="Times New Roman" w:cs="Times New Roman"/>
          <w:color w:val="222222"/>
          <w:sz w:val="28"/>
          <w:szCs w:val="28"/>
        </w:rPr>
      </w:pPr>
      <w:r w:rsidRPr="00612B7B">
        <w:rPr>
          <w:rFonts w:ascii="Times New Roman" w:eastAsia="Times New Roman" w:hAnsi="Times New Roman" w:cs="Times New Roman"/>
          <w:i/>
          <w:iCs/>
          <w:color w:val="222222"/>
          <w:sz w:val="28"/>
          <w:szCs w:val="28"/>
          <w:lang w:val="vi-VN"/>
        </w:rPr>
        <w:t>Theo đề nghị của Vụ trưởng Vụ Giáo dục Trung học,</w:t>
      </w:r>
    </w:p>
    <w:p w:rsidR="00612B7B" w:rsidRPr="00612B7B" w:rsidRDefault="00612B7B" w:rsidP="00331EF2">
      <w:pPr>
        <w:spacing w:after="0" w:line="240" w:lineRule="auto"/>
        <w:ind w:firstLine="720"/>
        <w:rPr>
          <w:rFonts w:ascii="Times New Roman" w:eastAsia="Times New Roman" w:hAnsi="Times New Roman" w:cs="Times New Roman"/>
          <w:color w:val="222222"/>
          <w:sz w:val="28"/>
          <w:szCs w:val="28"/>
        </w:rPr>
      </w:pPr>
      <w:r w:rsidRPr="00612B7B">
        <w:rPr>
          <w:rFonts w:ascii="Times New Roman" w:eastAsia="Times New Roman" w:hAnsi="Times New Roman" w:cs="Times New Roman"/>
          <w:i/>
          <w:iCs/>
          <w:color w:val="222222"/>
          <w:sz w:val="28"/>
          <w:szCs w:val="28"/>
          <w:lang w:val="vi-VN"/>
        </w:rPr>
        <w:t>Bộ trưởng Bộ Giáo dục và Đào tạo ban hành Thông tư 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b/>
          <w:bCs/>
          <w:color w:val="333333"/>
          <w:sz w:val="28"/>
          <w:szCs w:val="28"/>
        </w:rPr>
        <w:t>Điều 1. 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p>
    <w:p w:rsidR="00612B7B" w:rsidRPr="00612B7B" w:rsidRDefault="00612B7B" w:rsidP="00331EF2">
      <w:pPr>
        <w:spacing w:after="0" w:line="240" w:lineRule="auto"/>
        <w:rPr>
          <w:rFonts w:ascii="Times New Roman" w:eastAsia="Times New Roman" w:hAnsi="Times New Roman" w:cs="Times New Roman"/>
          <w:color w:val="0000FF"/>
          <w:sz w:val="28"/>
          <w:szCs w:val="28"/>
          <w:u w:val="single"/>
        </w:rPr>
      </w:pPr>
      <w:r w:rsidRPr="00612B7B">
        <w:rPr>
          <w:rFonts w:ascii="Times New Roman" w:eastAsia="Times New Roman" w:hAnsi="Times New Roman" w:cs="Times New Roman"/>
          <w:color w:val="333333"/>
          <w:sz w:val="28"/>
          <w:szCs w:val="28"/>
        </w:rPr>
        <w:t>1. Sửa đổi, bổ sung </w:t>
      </w:r>
      <w:r w:rsidRPr="00612B7B">
        <w:rPr>
          <w:rFonts w:ascii="Times New Roman" w:eastAsia="Times New Roman" w:hAnsi="Times New Roman" w:cs="Times New Roman"/>
          <w:color w:val="333333"/>
          <w:sz w:val="28"/>
          <w:szCs w:val="28"/>
        </w:rPr>
        <w:fldChar w:fldCharType="begin"/>
      </w:r>
      <w:r w:rsidRPr="00612B7B">
        <w:rPr>
          <w:rFonts w:ascii="Times New Roman" w:eastAsia="Times New Roman" w:hAnsi="Times New Roman" w:cs="Times New Roman"/>
          <w:color w:val="333333"/>
          <w:sz w:val="28"/>
          <w:szCs w:val="28"/>
        </w:rPr>
        <w:instrText xml:space="preserve"> HYPERLINK "https://luatvietnam.vn/noi-dung-tham-chieu.html?DocItemId=699715" </w:instrText>
      </w:r>
      <w:r w:rsidRPr="00612B7B">
        <w:rPr>
          <w:rFonts w:ascii="Times New Roman" w:eastAsia="Times New Roman" w:hAnsi="Times New Roman" w:cs="Times New Roman"/>
          <w:color w:val="333333"/>
          <w:sz w:val="28"/>
          <w:szCs w:val="28"/>
        </w:rPr>
        <w:fldChar w:fldCharType="separate"/>
      </w:r>
      <w:r w:rsidRPr="00612B7B">
        <w:rPr>
          <w:rFonts w:ascii="Times New Roman" w:eastAsia="Times New Roman" w:hAnsi="Times New Roman" w:cs="Times New Roman"/>
          <w:color w:val="0000FF"/>
          <w:sz w:val="28"/>
          <w:szCs w:val="28"/>
          <w:u w:val="single"/>
        </w:rPr>
        <w:t>Điểm b Khoản 1 Điều 6</w:t>
      </w:r>
    </w:p>
    <w:p w:rsidR="00612B7B" w:rsidRPr="00612B7B" w:rsidRDefault="00612B7B" w:rsidP="00331EF2">
      <w:pPr>
        <w:shd w:val="clear" w:color="auto" w:fill="F6E7B8"/>
        <w:spacing w:after="0" w:line="240" w:lineRule="auto"/>
        <w:rPr>
          <w:rFonts w:ascii="Times New Roman" w:eastAsia="Times New Roman" w:hAnsi="Times New Roman" w:cs="Times New Roman"/>
          <w:i/>
          <w:iCs/>
          <w:color w:val="333333"/>
          <w:sz w:val="28"/>
          <w:szCs w:val="28"/>
        </w:rPr>
      </w:pPr>
      <w:r w:rsidRPr="00612B7B">
        <w:rPr>
          <w:rFonts w:ascii="Times New Roman" w:eastAsia="Times New Roman" w:hAnsi="Times New Roman" w:cs="Times New Roman"/>
          <w:color w:val="333333"/>
          <w:sz w:val="28"/>
          <w:szCs w:val="28"/>
        </w:rPr>
        <w:fldChar w:fldCharType="end"/>
      </w:r>
      <w:r w:rsidRPr="00612B7B">
        <w:rPr>
          <w:rFonts w:ascii="Times New Roman" w:eastAsia="Times New Roman" w:hAnsi="Times New Roman" w:cs="Times New Roman"/>
          <w:i/>
          <w:iCs/>
          <w:color w:val="333333"/>
          <w:sz w:val="28"/>
          <w:szCs w:val="28"/>
        </w:rPr>
        <w:br/>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 như sau:</w:t>
      </w:r>
      <w:r w:rsidRPr="00612B7B">
        <w:rPr>
          <w:rFonts w:ascii="Times New Roman" w:eastAsia="Times New Roman" w:hAnsi="Times New Roman" w:cs="Times New Roman"/>
          <w:color w:val="333333"/>
          <w:sz w:val="28"/>
          <w:szCs w:val="28"/>
        </w:rPr>
        <w:br/>
        <w:t>"b) Kết hợp giữa đánh giá bằng nhận xét và đánh giá bằng điểm số đối với các môn học còn lại:</w:t>
      </w:r>
      <w:r w:rsidRPr="00612B7B">
        <w:rPr>
          <w:rFonts w:ascii="Times New Roman" w:eastAsia="Times New Roman" w:hAnsi="Times New Roman" w:cs="Times New Roman"/>
          <w:color w:val="333333"/>
          <w:sz w:val="28"/>
          <w:szCs w:val="28"/>
        </w:rPr>
        <w:br/>
        <w:t>- Đánh giá bằng nhận xét sự tiến bộ về thái độ, hành vi và kết quả thực hiện các nhiệm vụ học tập của học sinh trong quá trình học tập môn học, hoạt động giáo dục quy định trong Chương trình giáo dục phổ thông do Bộ trưởng Bộ Giáo dục và Đào tạo ban hành.</w:t>
      </w:r>
      <w:r w:rsidRPr="00612B7B">
        <w:rPr>
          <w:rFonts w:ascii="Times New Roman" w:eastAsia="Times New Roman" w:hAnsi="Times New Roman" w:cs="Times New Roman"/>
          <w:color w:val="333333"/>
          <w:sz w:val="28"/>
          <w:szCs w:val="28"/>
        </w:rPr>
        <w:br/>
        <w:t xml:space="preserve">- Đánh giá bằng điểm số kết quả thực hiện các yêu cầu về chuẩn kiến thức, kĩ năng </w:t>
      </w:r>
      <w:r w:rsidRPr="00612B7B">
        <w:rPr>
          <w:rFonts w:ascii="Times New Roman" w:eastAsia="Times New Roman" w:hAnsi="Times New Roman" w:cs="Times New Roman"/>
          <w:color w:val="333333"/>
          <w:sz w:val="28"/>
          <w:szCs w:val="28"/>
        </w:rPr>
        <w:lastRenderedPageBreak/>
        <w:t>đối với môn học quy định trong Chương trình giáo dục phổ thông do Bộ trưởng Bộ Giáo dục và Đào tạo ban hành. Kết quả đánh giá theo thang điểm 10, nếu sử dụng thang điểm khác thì phải quy đổi về thang điểm 10.".</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2. Sửa đổi, bổ sung </w:t>
      </w:r>
      <w:hyperlink r:id="rId7" w:history="1">
        <w:r w:rsidRPr="00612B7B">
          <w:rPr>
            <w:rFonts w:ascii="Times New Roman" w:eastAsia="Times New Roman" w:hAnsi="Times New Roman" w:cs="Times New Roman"/>
            <w:color w:val="0000FF"/>
            <w:sz w:val="28"/>
            <w:szCs w:val="28"/>
            <w:u w:val="single"/>
          </w:rPr>
          <w:t>Điểm a Khoản 2 Điều 6</w:t>
        </w:r>
      </w:hyperlink>
      <w:r w:rsidRPr="00612B7B">
        <w:rPr>
          <w:rFonts w:ascii="Times New Roman" w:eastAsia="Times New Roman" w:hAnsi="Times New Roman" w:cs="Times New Roman"/>
          <w:color w:val="333333"/>
          <w:sz w:val="28"/>
          <w:szCs w:val="28"/>
        </w:rPr>
        <w:t> như sau:</w:t>
      </w:r>
      <w:r w:rsidRPr="00612B7B">
        <w:rPr>
          <w:rFonts w:ascii="Times New Roman" w:eastAsia="Times New Roman" w:hAnsi="Times New Roman" w:cs="Times New Roman"/>
          <w:color w:val="333333"/>
          <w:sz w:val="28"/>
          <w:szCs w:val="28"/>
        </w:rPr>
        <w:br/>
        <w:t>"a) Đối với các môn học kết hợp giữa đánh giá bằng nhận xét và đánh giá bằng điểm số: nhận xét sự tiến bộ về thái độ, hành vi, kết quả học tập môn học sau mỗi học kì, cả năm học; tính điểm trung bình môn học và tính điểm trung bình các môn học sau mỗi học kì, cả năm học;".</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3. Sửa đổi, bổ sung </w:t>
      </w:r>
      <w:hyperlink r:id="rId8" w:history="1">
        <w:r w:rsidRPr="00612B7B">
          <w:rPr>
            <w:rFonts w:ascii="Times New Roman" w:eastAsia="Times New Roman" w:hAnsi="Times New Roman" w:cs="Times New Roman"/>
            <w:color w:val="0000FF"/>
            <w:sz w:val="28"/>
            <w:szCs w:val="28"/>
            <w:u w:val="single"/>
          </w:rPr>
          <w:t>Điều 7 </w:t>
        </w:r>
      </w:hyperlink>
      <w:r w:rsidRPr="00612B7B">
        <w:rPr>
          <w:rFonts w:ascii="Times New Roman" w:eastAsia="Times New Roman" w:hAnsi="Times New Roman" w:cs="Times New Roman"/>
          <w:color w:val="333333"/>
          <w:sz w:val="28"/>
          <w:szCs w:val="28"/>
        </w:rPr>
        <w:t>như sau:</w:t>
      </w:r>
      <w:r w:rsidRPr="00612B7B">
        <w:rPr>
          <w:rFonts w:ascii="Times New Roman" w:eastAsia="Times New Roman" w:hAnsi="Times New Roman" w:cs="Times New Roman"/>
          <w:color w:val="333333"/>
          <w:sz w:val="28"/>
          <w:szCs w:val="28"/>
        </w:rPr>
        <w:br/>
        <w:t>"Điều 7. Các loại kiểm tra, đánh giá; hệ số điểm kiểm tra, đánh giá</w:t>
      </w:r>
      <w:r w:rsidRPr="00612B7B">
        <w:rPr>
          <w:rFonts w:ascii="Times New Roman" w:eastAsia="Times New Roman" w:hAnsi="Times New Roman" w:cs="Times New Roman"/>
          <w:color w:val="333333"/>
          <w:sz w:val="28"/>
          <w:szCs w:val="28"/>
        </w:rPr>
        <w:br/>
        <w:t>1. Các loại kiểm tra, đánh giá</w:t>
      </w:r>
      <w:r w:rsidRPr="00612B7B">
        <w:rPr>
          <w:rFonts w:ascii="Times New Roman" w:eastAsia="Times New Roman" w:hAnsi="Times New Roman" w:cs="Times New Roman"/>
          <w:color w:val="333333"/>
          <w:sz w:val="28"/>
          <w:szCs w:val="28"/>
        </w:rPr>
        <w:br/>
        <w:t>a) Kiểm tra, đánh giá thường xuyên:</w:t>
      </w:r>
      <w:r w:rsidRPr="00612B7B">
        <w:rPr>
          <w:rFonts w:ascii="Times New Roman" w:eastAsia="Times New Roman" w:hAnsi="Times New Roman" w:cs="Times New Roman"/>
          <w:color w:val="333333"/>
          <w:sz w:val="28"/>
          <w:szCs w:val="28"/>
        </w:rPr>
        <w:br/>
        <w:t>- Kiểm tra, đánh giá thường xuyên được thực hiện trong quá trình dạy học và giáo dục, nhằm kiểm tra, đánh giá quá trình và kết quả thực hiện các nhiệm vụ học tập, rèn luyện của học sinh theo chương trình môn học, hoạt động giáo dục trong Chương trình giáo dục phổ thông do Bộ trưởng Bộ Giáo dục và Đào tạo ban hành;</w:t>
      </w:r>
      <w:r w:rsidRPr="00612B7B">
        <w:rPr>
          <w:rFonts w:ascii="Times New Roman" w:eastAsia="Times New Roman" w:hAnsi="Times New Roman" w:cs="Times New Roman"/>
          <w:color w:val="333333"/>
          <w:sz w:val="28"/>
          <w:szCs w:val="28"/>
        </w:rPr>
        <w:br/>
        <w:t>- Kiểm tra, đánh giá thường xuyên được thực hiện theo hình thức trực tiếp hoặc trực tuyến thông qua: hỏi - đáp, viết, thuyết trình, thực hành, thí nghiệm, sản phẩm học tập;</w:t>
      </w:r>
      <w:r w:rsidRPr="00612B7B">
        <w:rPr>
          <w:rFonts w:ascii="Times New Roman" w:eastAsia="Times New Roman" w:hAnsi="Times New Roman" w:cs="Times New Roman"/>
          <w:color w:val="333333"/>
          <w:sz w:val="28"/>
          <w:szCs w:val="28"/>
        </w:rPr>
        <w:br/>
        <w:t>- Số lần kiểm tra, đánh giá thường xuyên không giới hạn bởi số điểm kiểm tra, đánh giá thường xuyên quy định tại khoản 1 Điều 8 Thông tư này.</w:t>
      </w:r>
      <w:r w:rsidRPr="00612B7B">
        <w:rPr>
          <w:rFonts w:ascii="Times New Roman" w:eastAsia="Times New Roman" w:hAnsi="Times New Roman" w:cs="Times New Roman"/>
          <w:color w:val="333333"/>
          <w:sz w:val="28"/>
          <w:szCs w:val="28"/>
        </w:rPr>
        <w:br/>
        <w:t>b) Kiểm tra, đánh giá định kì:</w:t>
      </w:r>
      <w:r w:rsidRPr="00612B7B">
        <w:rPr>
          <w:rFonts w:ascii="Times New Roman" w:eastAsia="Times New Roman" w:hAnsi="Times New Roman" w:cs="Times New Roman"/>
          <w:color w:val="333333"/>
          <w:sz w:val="28"/>
          <w:szCs w:val="28"/>
        </w:rPr>
        <w:br/>
        <w:t>- Kiểm tra, đánh giá định kì được thực hiện sau mỗi giai đoạn giáo dục nhằm đánh giá kết quả học tập, rèn luyện và mức độ hoàn thành nhiệm vụ học tập của học sinh theo chương trình môn học, hoạt động giáo dục quy định trong Chương trình giáo dục phổ thông do Bộ trưởng Bộ Giáo dục và Đào tạo ban hành;</w:t>
      </w:r>
      <w:r w:rsidRPr="00612B7B">
        <w:rPr>
          <w:rFonts w:ascii="Times New Roman" w:eastAsia="Times New Roman" w:hAnsi="Times New Roman" w:cs="Times New Roman"/>
          <w:color w:val="333333"/>
          <w:sz w:val="28"/>
          <w:szCs w:val="28"/>
        </w:rPr>
        <w:br/>
        <w:t>- Kiểm tra, đánh giá định kì, gồm kiểm tra, đánh giá giữa kì và kiểm tra, đánh giá cuối kì, được thực hiện thông qua: bài kiểm tra (trên giấy hoặc trên máy tính), bài thực hành, dự án học tập.</w:t>
      </w:r>
      <w:r w:rsidRPr="00612B7B">
        <w:rPr>
          <w:rFonts w:ascii="Times New Roman" w:eastAsia="Times New Roman" w:hAnsi="Times New Roman" w:cs="Times New Roman"/>
          <w:color w:val="333333"/>
          <w:sz w:val="28"/>
          <w:szCs w:val="28"/>
        </w:rPr>
        <w:br/>
        <w:t>+ Thời gian làm bài kiểm tra, đánh giá định kì bằng bài kiểm tra trên giấy hoặc trên máy tính từ 45 phút đến 90 phút, đối với môn chuyên tối đa 120 phút. Đề kiểm tra được xây dựng dựa trên ma trận, đặc tả của đề, đáp ứng theo mức độ cần đạt của môn học, hoạt động giáo dục quy định trong Chương trình giáo dục phổ thông do Bộ trưởng Bộ Giáo dục và Đào tạo ban hành.</w:t>
      </w:r>
      <w:r w:rsidRPr="00612B7B">
        <w:rPr>
          <w:rFonts w:ascii="Times New Roman" w:eastAsia="Times New Roman" w:hAnsi="Times New Roman" w:cs="Times New Roman"/>
          <w:color w:val="333333"/>
          <w:sz w:val="28"/>
          <w:szCs w:val="28"/>
        </w:rPr>
        <w:br/>
        <w:t>+ Đối với bài thực hành, dự án học tập phải có hướng dẫn và tiêu chí đánh giá trước khi thực hiện.</w:t>
      </w:r>
      <w:r w:rsidRPr="00612B7B">
        <w:rPr>
          <w:rFonts w:ascii="Times New Roman" w:eastAsia="Times New Roman" w:hAnsi="Times New Roman" w:cs="Times New Roman"/>
          <w:color w:val="333333"/>
          <w:sz w:val="28"/>
          <w:szCs w:val="28"/>
        </w:rPr>
        <w:br/>
        <w:t>2. Hệ số điểm kiểm tra, đánh giá thường xuyên và định kì</w:t>
      </w:r>
      <w:r w:rsidRPr="00612B7B">
        <w:rPr>
          <w:rFonts w:ascii="Times New Roman" w:eastAsia="Times New Roman" w:hAnsi="Times New Roman" w:cs="Times New Roman"/>
          <w:color w:val="333333"/>
          <w:sz w:val="28"/>
          <w:szCs w:val="28"/>
        </w:rPr>
        <w:br/>
        <w:t>a) Điểm kiểm tra, đánh giá thường xuyên (viết tắt là ĐĐGtx): tính hệ số 1;</w:t>
      </w:r>
      <w:r w:rsidRPr="00612B7B">
        <w:rPr>
          <w:rFonts w:ascii="Times New Roman" w:eastAsia="Times New Roman" w:hAnsi="Times New Roman" w:cs="Times New Roman"/>
          <w:color w:val="333333"/>
          <w:sz w:val="28"/>
          <w:szCs w:val="28"/>
        </w:rPr>
        <w:br/>
        <w:t>b) Điểm kiểm tra, đánh giá giữa kì (viết tắt là ĐĐGgk): tính hệ số 2;</w:t>
      </w:r>
      <w:r w:rsidRPr="00612B7B">
        <w:rPr>
          <w:rFonts w:ascii="Times New Roman" w:eastAsia="Times New Roman" w:hAnsi="Times New Roman" w:cs="Times New Roman"/>
          <w:color w:val="333333"/>
          <w:sz w:val="28"/>
          <w:szCs w:val="28"/>
        </w:rPr>
        <w:br/>
        <w:t>c) Điểm kiểm tra, đánh giá cuối kì (viết tắt là ĐĐGck): tính hệ số 3.".</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lastRenderedPageBreak/>
        <w:t>4. Sửa đổi, bổ sung </w:t>
      </w:r>
      <w:hyperlink r:id="rId9" w:history="1">
        <w:r w:rsidRPr="00612B7B">
          <w:rPr>
            <w:rFonts w:ascii="Times New Roman" w:eastAsia="Times New Roman" w:hAnsi="Times New Roman" w:cs="Times New Roman"/>
            <w:color w:val="0000FF"/>
            <w:sz w:val="28"/>
            <w:szCs w:val="28"/>
            <w:u w:val="single"/>
          </w:rPr>
          <w:t>Điều 8 </w:t>
        </w:r>
      </w:hyperlink>
      <w:r w:rsidRPr="00612B7B">
        <w:rPr>
          <w:rFonts w:ascii="Times New Roman" w:eastAsia="Times New Roman" w:hAnsi="Times New Roman" w:cs="Times New Roman"/>
          <w:color w:val="333333"/>
          <w:sz w:val="28"/>
          <w:szCs w:val="28"/>
        </w:rPr>
        <w:t>như sau:</w:t>
      </w:r>
      <w:r w:rsidRPr="00612B7B">
        <w:rPr>
          <w:rFonts w:ascii="Times New Roman" w:eastAsia="Times New Roman" w:hAnsi="Times New Roman" w:cs="Times New Roman"/>
          <w:color w:val="333333"/>
          <w:sz w:val="28"/>
          <w:szCs w:val="28"/>
        </w:rPr>
        <w:br/>
        <w:t>"Điều 8. Số điểm kiểm tra, đánh giá và cách cho điểm</w:t>
      </w:r>
      <w:r w:rsidRPr="00612B7B">
        <w:rPr>
          <w:rFonts w:ascii="Times New Roman" w:eastAsia="Times New Roman" w:hAnsi="Times New Roman" w:cs="Times New Roman"/>
          <w:color w:val="333333"/>
          <w:sz w:val="28"/>
          <w:szCs w:val="28"/>
        </w:rPr>
        <w:br/>
        <w:t>1. Trong mỗi học kì, số ĐĐGtx, ĐĐGgk và ĐĐGck của một học sinh đối với từng môn học, hoạt động giáo dục (bao gồm cả chủ đề tự chọn) như sau:</w:t>
      </w:r>
      <w:r w:rsidRPr="00612B7B">
        <w:rPr>
          <w:rFonts w:ascii="Times New Roman" w:eastAsia="Times New Roman" w:hAnsi="Times New Roman" w:cs="Times New Roman"/>
          <w:color w:val="333333"/>
          <w:sz w:val="28"/>
          <w:szCs w:val="28"/>
        </w:rPr>
        <w:br/>
        <w:t>a) Kiểm tra, đánh giá thường xuyên:</w:t>
      </w:r>
      <w:r w:rsidRPr="00612B7B">
        <w:rPr>
          <w:rFonts w:ascii="Times New Roman" w:eastAsia="Times New Roman" w:hAnsi="Times New Roman" w:cs="Times New Roman"/>
          <w:color w:val="333333"/>
          <w:sz w:val="28"/>
          <w:szCs w:val="28"/>
        </w:rPr>
        <w:br/>
        <w:t>- Môn học có từ 35 tiết trở xuống/năm học: 2 ĐĐGtx;</w:t>
      </w:r>
      <w:r w:rsidRPr="00612B7B">
        <w:rPr>
          <w:rFonts w:ascii="Times New Roman" w:eastAsia="Times New Roman" w:hAnsi="Times New Roman" w:cs="Times New Roman"/>
          <w:color w:val="333333"/>
          <w:sz w:val="28"/>
          <w:szCs w:val="28"/>
        </w:rPr>
        <w:br/>
        <w:t>- Môn học có từ trên 35 tiết đến 70 tiết/năm học: 3 ĐĐGtx;</w:t>
      </w:r>
      <w:r w:rsidRPr="00612B7B">
        <w:rPr>
          <w:rFonts w:ascii="Times New Roman" w:eastAsia="Times New Roman" w:hAnsi="Times New Roman" w:cs="Times New Roman"/>
          <w:color w:val="333333"/>
          <w:sz w:val="28"/>
          <w:szCs w:val="28"/>
        </w:rPr>
        <w:br/>
        <w:t>- Môn học có từ trên 70 tiết/năm học: 4 ĐĐGtx.</w:t>
      </w:r>
      <w:r w:rsidRPr="00612B7B">
        <w:rPr>
          <w:rFonts w:ascii="Times New Roman" w:eastAsia="Times New Roman" w:hAnsi="Times New Roman" w:cs="Times New Roman"/>
          <w:color w:val="333333"/>
          <w:sz w:val="28"/>
          <w:szCs w:val="28"/>
        </w:rPr>
        <w:br/>
        <w:t>b) Kiểm tra, đánh giá định kì:</w:t>
      </w:r>
      <w:r w:rsidRPr="00612B7B">
        <w:rPr>
          <w:rFonts w:ascii="Times New Roman" w:eastAsia="Times New Roman" w:hAnsi="Times New Roman" w:cs="Times New Roman"/>
          <w:color w:val="333333"/>
          <w:sz w:val="28"/>
          <w:szCs w:val="28"/>
        </w:rPr>
        <w:br/>
        <w:t>Trong mỗi học kì, một môn học có 01 (một) ĐĐGgk và 01 (một) ĐĐGck;</w:t>
      </w:r>
      <w:r w:rsidRPr="00612B7B">
        <w:rPr>
          <w:rFonts w:ascii="Times New Roman" w:eastAsia="Times New Roman" w:hAnsi="Times New Roman" w:cs="Times New Roman"/>
          <w:color w:val="333333"/>
          <w:sz w:val="28"/>
          <w:szCs w:val="28"/>
        </w:rPr>
        <w:br/>
        <w:t>2. Điểm các bài kiểm tra, đánh giá là số nguyên hoặc số thập phân được lấy đến chữ số thập phân thứ nhất sau khi làm tròn số.</w:t>
      </w:r>
      <w:r w:rsidRPr="00612B7B">
        <w:rPr>
          <w:rFonts w:ascii="Times New Roman" w:eastAsia="Times New Roman" w:hAnsi="Times New Roman" w:cs="Times New Roman"/>
          <w:color w:val="333333"/>
          <w:sz w:val="28"/>
          <w:szCs w:val="28"/>
        </w:rPr>
        <w:br/>
        <w:t>3. Những học sinh không đủ số điểm kiểm tra, đánh giá theo quy định tại khoản 1 Điều này nếu có lí do chính đáng thì được kiểm tra, đánh giá bù bài kiểm tra, đánh giá còn thiếu, với hình thức, mức độ kiến thức, kĩ năng và thời gian tương đương. Việc kiểm tra, đánh giá bù được hoàn thành trong từng học kì hoặc cuối năm học.</w:t>
      </w:r>
      <w:r w:rsidRPr="00612B7B">
        <w:rPr>
          <w:rFonts w:ascii="Times New Roman" w:eastAsia="Times New Roman" w:hAnsi="Times New Roman" w:cs="Times New Roman"/>
          <w:color w:val="333333"/>
          <w:sz w:val="28"/>
          <w:szCs w:val="28"/>
        </w:rPr>
        <w:br/>
        <w:t>4. Trường hợp học sinh không có đủ số điểm kiểm tra, đánh giá theo quy định tại khoản 1 Điều này mà không có lí do chính đáng hoặc có lí do chính đáng nhưng không tham gia kiểm tra, đánh giá bù sẽ nhận điểm 0 (không) của bài kiểm tra, đánh giá còn thiếu.".</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5. Sửa đổi, bổ sung </w:t>
      </w:r>
      <w:hyperlink r:id="rId10" w:history="1">
        <w:r w:rsidRPr="00612B7B">
          <w:rPr>
            <w:rFonts w:ascii="Times New Roman" w:eastAsia="Times New Roman" w:hAnsi="Times New Roman" w:cs="Times New Roman"/>
            <w:color w:val="0000FF"/>
            <w:sz w:val="28"/>
            <w:szCs w:val="28"/>
            <w:u w:val="single"/>
          </w:rPr>
          <w:t>điểm a khoản 1 Điều 10</w:t>
        </w:r>
      </w:hyperlink>
      <w:r w:rsidRPr="00612B7B">
        <w:rPr>
          <w:rFonts w:ascii="Times New Roman" w:eastAsia="Times New Roman" w:hAnsi="Times New Roman" w:cs="Times New Roman"/>
          <w:color w:val="333333"/>
          <w:sz w:val="28"/>
          <w:szCs w:val="28"/>
        </w:rPr>
        <w:t> như sau: "</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a) Điểm trung bình môn học kì (viết tắt là ĐTBmhk) là trung bình cộng của điểm kiểm tra, đánh giá thường xuyên, điểm kiểm tra, đánh giá giữa kì và điểm kiểm tra, đánh giá cuối kì với các hệ số quy định tại khoản 2 Điều 7 Thông tư này như sau:</w:t>
      </w:r>
    </w:p>
    <w:tbl>
      <w:tblPr>
        <w:tblW w:w="5000" w:type="pct"/>
        <w:jc w:val="center"/>
        <w:tblCellMar>
          <w:left w:w="0" w:type="dxa"/>
          <w:right w:w="0" w:type="dxa"/>
        </w:tblCellMar>
        <w:tblLook w:val="04A0" w:firstRow="1" w:lastRow="0" w:firstColumn="1" w:lastColumn="0" w:noHBand="0" w:noVBand="1"/>
      </w:tblPr>
      <w:tblGrid>
        <w:gridCol w:w="2581"/>
        <w:gridCol w:w="6995"/>
      </w:tblGrid>
      <w:tr w:rsidR="00612B7B" w:rsidRPr="00612B7B" w:rsidTr="00612B7B">
        <w:trPr>
          <w:jc w:val="center"/>
        </w:trPr>
        <w:tc>
          <w:tcPr>
            <w:tcW w:w="2430" w:type="dxa"/>
            <w:vMerge w:val="restart"/>
            <w:tcMar>
              <w:top w:w="0" w:type="dxa"/>
              <w:left w:w="108" w:type="dxa"/>
              <w:bottom w:w="0" w:type="dxa"/>
              <w:right w:w="108" w:type="dxa"/>
            </w:tcMar>
            <w:vAlign w:val="center"/>
            <w:hideMark/>
          </w:tcPr>
          <w:p w:rsidR="00612B7B" w:rsidRPr="00612B7B" w:rsidRDefault="00612B7B" w:rsidP="00331EF2">
            <w:pPr>
              <w:spacing w:after="120" w:line="240" w:lineRule="auto"/>
              <w:ind w:firstLine="720"/>
              <w:rPr>
                <w:rFonts w:ascii="Times New Roman" w:eastAsia="Times New Roman" w:hAnsi="Times New Roman" w:cs="Times New Roman"/>
                <w:color w:val="222222"/>
                <w:sz w:val="28"/>
                <w:szCs w:val="28"/>
              </w:rPr>
            </w:pPr>
            <w:r w:rsidRPr="00612B7B">
              <w:rPr>
                <w:rFonts w:ascii="Times New Roman" w:eastAsia="Times New Roman" w:hAnsi="Times New Roman" w:cs="Times New Roman"/>
                <w:color w:val="222222"/>
                <w:sz w:val="28"/>
                <w:szCs w:val="28"/>
              </w:rPr>
              <w:t>ĐTBmhk =</w:t>
            </w:r>
          </w:p>
        </w:tc>
        <w:tc>
          <w:tcPr>
            <w:tcW w:w="6585" w:type="dxa"/>
            <w:tcBorders>
              <w:top w:val="nil"/>
              <w:left w:val="nil"/>
              <w:bottom w:val="single" w:sz="8" w:space="0" w:color="auto"/>
              <w:right w:val="nil"/>
            </w:tcBorders>
            <w:tcMar>
              <w:top w:w="0" w:type="dxa"/>
              <w:left w:w="108" w:type="dxa"/>
              <w:bottom w:w="0" w:type="dxa"/>
              <w:right w:w="108" w:type="dxa"/>
            </w:tcMar>
            <w:vAlign w:val="center"/>
            <w:hideMark/>
          </w:tcPr>
          <w:p w:rsidR="00612B7B" w:rsidRPr="00612B7B" w:rsidRDefault="00612B7B" w:rsidP="00331EF2">
            <w:pPr>
              <w:spacing w:after="120" w:line="240" w:lineRule="auto"/>
              <w:ind w:firstLine="720"/>
              <w:rPr>
                <w:rFonts w:ascii="Times New Roman" w:eastAsia="Times New Roman" w:hAnsi="Times New Roman" w:cs="Times New Roman"/>
                <w:color w:val="222222"/>
                <w:sz w:val="28"/>
                <w:szCs w:val="28"/>
              </w:rPr>
            </w:pPr>
            <w:r w:rsidRPr="00612B7B">
              <w:rPr>
                <w:rFonts w:ascii="Times New Roman" w:eastAsia="Times New Roman" w:hAnsi="Times New Roman" w:cs="Times New Roman"/>
                <w:color w:val="222222"/>
                <w:sz w:val="28"/>
                <w:szCs w:val="28"/>
              </w:rPr>
              <w:t>TĐĐGt</w:t>
            </w:r>
            <w:r w:rsidRPr="00612B7B">
              <w:rPr>
                <w:rFonts w:ascii="Times New Roman" w:eastAsia="Times New Roman" w:hAnsi="Times New Roman" w:cs="Times New Roman"/>
                <w:color w:val="222222"/>
                <w:sz w:val="28"/>
                <w:szCs w:val="28"/>
                <w:vertAlign w:val="subscript"/>
              </w:rPr>
              <w:t>x</w:t>
            </w:r>
            <w:r w:rsidRPr="00612B7B">
              <w:rPr>
                <w:rFonts w:ascii="Times New Roman" w:eastAsia="Times New Roman" w:hAnsi="Times New Roman" w:cs="Times New Roman"/>
                <w:color w:val="222222"/>
                <w:sz w:val="28"/>
                <w:szCs w:val="28"/>
              </w:rPr>
              <w:t> + 2 x ĐĐGgk + 3 x ĐĐG</w:t>
            </w:r>
            <w:r w:rsidRPr="00612B7B">
              <w:rPr>
                <w:rFonts w:ascii="Times New Roman" w:eastAsia="Times New Roman" w:hAnsi="Times New Roman" w:cs="Times New Roman"/>
                <w:color w:val="222222"/>
                <w:sz w:val="28"/>
                <w:szCs w:val="28"/>
                <w:vertAlign w:val="subscript"/>
              </w:rPr>
              <w:t>c</w:t>
            </w:r>
            <w:r w:rsidRPr="00612B7B">
              <w:rPr>
                <w:rFonts w:ascii="Times New Roman" w:eastAsia="Times New Roman" w:hAnsi="Times New Roman" w:cs="Times New Roman"/>
                <w:color w:val="222222"/>
                <w:sz w:val="28"/>
                <w:szCs w:val="28"/>
              </w:rPr>
              <w:t>k</w:t>
            </w:r>
          </w:p>
        </w:tc>
      </w:tr>
      <w:tr w:rsidR="00612B7B" w:rsidRPr="00612B7B" w:rsidTr="00612B7B">
        <w:trPr>
          <w:jc w:val="center"/>
        </w:trPr>
        <w:tc>
          <w:tcPr>
            <w:tcW w:w="0" w:type="auto"/>
            <w:vMerge/>
            <w:vAlign w:val="center"/>
            <w:hideMark/>
          </w:tcPr>
          <w:p w:rsidR="00612B7B" w:rsidRPr="00612B7B" w:rsidRDefault="00612B7B" w:rsidP="00331EF2">
            <w:pPr>
              <w:spacing w:after="0" w:line="240" w:lineRule="auto"/>
              <w:rPr>
                <w:rFonts w:ascii="Times New Roman" w:eastAsia="Times New Roman" w:hAnsi="Times New Roman" w:cs="Times New Roman"/>
                <w:color w:val="222222"/>
                <w:sz w:val="28"/>
                <w:szCs w:val="28"/>
              </w:rPr>
            </w:pPr>
          </w:p>
        </w:tc>
        <w:tc>
          <w:tcPr>
            <w:tcW w:w="6585" w:type="dxa"/>
            <w:tcBorders>
              <w:top w:val="nil"/>
              <w:left w:val="nil"/>
              <w:bottom w:val="nil"/>
              <w:right w:val="nil"/>
            </w:tcBorders>
            <w:tcMar>
              <w:top w:w="0" w:type="dxa"/>
              <w:left w:w="108" w:type="dxa"/>
              <w:bottom w:w="0" w:type="dxa"/>
              <w:right w:w="108" w:type="dxa"/>
            </w:tcMar>
            <w:vAlign w:val="center"/>
            <w:hideMark/>
          </w:tcPr>
          <w:p w:rsidR="00612B7B" w:rsidRPr="00612B7B" w:rsidRDefault="00612B7B" w:rsidP="00331EF2">
            <w:pPr>
              <w:spacing w:after="120" w:line="240" w:lineRule="auto"/>
              <w:ind w:firstLine="720"/>
              <w:rPr>
                <w:rFonts w:ascii="Times New Roman" w:eastAsia="Times New Roman" w:hAnsi="Times New Roman" w:cs="Times New Roman"/>
                <w:color w:val="222222"/>
                <w:sz w:val="28"/>
                <w:szCs w:val="28"/>
              </w:rPr>
            </w:pPr>
            <w:r w:rsidRPr="00612B7B">
              <w:rPr>
                <w:rFonts w:ascii="Times New Roman" w:eastAsia="Times New Roman" w:hAnsi="Times New Roman" w:cs="Times New Roman"/>
                <w:color w:val="222222"/>
                <w:sz w:val="28"/>
                <w:szCs w:val="28"/>
              </w:rPr>
              <w:t>Số ĐĐGtx + 5</w:t>
            </w:r>
          </w:p>
        </w:tc>
      </w:tr>
    </w:tbl>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 </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TĐĐGtx: Tổng điểm kiểm tra, đánh giá thường xuyên.”.</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6. Sửa đổi, bổ sung </w:t>
      </w:r>
      <w:hyperlink r:id="rId11" w:history="1">
        <w:r w:rsidRPr="00612B7B">
          <w:rPr>
            <w:rFonts w:ascii="Times New Roman" w:eastAsia="Times New Roman" w:hAnsi="Times New Roman" w:cs="Times New Roman"/>
            <w:color w:val="0000FF"/>
            <w:sz w:val="28"/>
            <w:szCs w:val="28"/>
            <w:u w:val="single"/>
          </w:rPr>
          <w:t>Điều 14 </w:t>
        </w:r>
      </w:hyperlink>
      <w:r w:rsidRPr="00612B7B">
        <w:rPr>
          <w:rFonts w:ascii="Times New Roman" w:eastAsia="Times New Roman" w:hAnsi="Times New Roman" w:cs="Times New Roman"/>
          <w:color w:val="333333"/>
          <w:sz w:val="28"/>
          <w:szCs w:val="28"/>
        </w:rPr>
        <w:t>như sau:</w:t>
      </w:r>
      <w:r w:rsidRPr="00612B7B">
        <w:rPr>
          <w:rFonts w:ascii="Times New Roman" w:eastAsia="Times New Roman" w:hAnsi="Times New Roman" w:cs="Times New Roman"/>
          <w:color w:val="333333"/>
          <w:sz w:val="28"/>
          <w:szCs w:val="28"/>
        </w:rPr>
        <w:br/>
        <w:t>"Điều 14. Đánh giá học sinh khuyết tật</w:t>
      </w:r>
      <w:r w:rsidRPr="00612B7B">
        <w:rPr>
          <w:rFonts w:ascii="Times New Roman" w:eastAsia="Times New Roman" w:hAnsi="Times New Roman" w:cs="Times New Roman"/>
          <w:color w:val="333333"/>
          <w:sz w:val="28"/>
          <w:szCs w:val="28"/>
        </w:rPr>
        <w:br/>
        <w:t>1. Việc đánh giá kết quả giáo dục của học sinh khuyết tật được thực hiện theo nguyên tắc động viên, khuyến khích sự nỗ lực và tiến bộ của người học.</w:t>
      </w:r>
      <w:r w:rsidRPr="00612B7B">
        <w:rPr>
          <w:rFonts w:ascii="Times New Roman" w:eastAsia="Times New Roman" w:hAnsi="Times New Roman" w:cs="Times New Roman"/>
          <w:color w:val="333333"/>
          <w:sz w:val="28"/>
          <w:szCs w:val="28"/>
        </w:rPr>
        <w:br/>
        <w:t>2. Đối với học sinh khuyết tật học tập theo phương thức giáo dục hòa nhập, kết quả giáo dục môn học hoặc hoạt động giáo dục mà học sinh khuyết tật đáp ứng được yêu cầu chương trình giáo dục chung được đánh giá như đối với học sinh bình thường nhưng có giảm nhẹ yêu cầu về kết quả học tập. Những môn học hoặc hoạt động giáo dục mà học sinh khuyết tật không có khả năng đáp ứng yêu cầu chung được đánh giá theo kết quả thực hiện Kế hoạch giáo dục cá nhân; không đánh giá những nội dung môn học, môn học hoặc nội dung giáo dục được miễn.</w:t>
      </w:r>
      <w:r w:rsidRPr="00612B7B">
        <w:rPr>
          <w:rFonts w:ascii="Times New Roman" w:eastAsia="Times New Roman" w:hAnsi="Times New Roman" w:cs="Times New Roman"/>
          <w:color w:val="333333"/>
          <w:sz w:val="28"/>
          <w:szCs w:val="28"/>
        </w:rPr>
        <w:br/>
      </w:r>
      <w:r w:rsidRPr="00612B7B">
        <w:rPr>
          <w:rFonts w:ascii="Times New Roman" w:eastAsia="Times New Roman" w:hAnsi="Times New Roman" w:cs="Times New Roman"/>
          <w:color w:val="333333"/>
          <w:sz w:val="28"/>
          <w:szCs w:val="28"/>
        </w:rPr>
        <w:lastRenderedPageBreak/>
        <w:t>3. Đối với học sinh khuyết tật học tập theo phương thức giáo dục chuyên biệt, kết quả giáo dục của môn học hoặc hoạt động giáo dục mà học sinh khuyết tật đáp ứng được yêu cầu chương trình giáo dục chuyên biệt được đánh giá theo quy định dành cho giáo dục chuyên biệt. Những môn học hoặc hoạt động giáo dục mà học sinh khuyết tật không có khả năng đáp ứng yêu cầu giáo dục chuyên biệt thì đánh giá theo kết quả thực hiện Kế hoạch giáo dục cá nhân.".</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7. Bổ sung khoản 3 vào </w:t>
      </w:r>
      <w:hyperlink r:id="rId12" w:history="1">
        <w:r w:rsidRPr="00612B7B">
          <w:rPr>
            <w:rFonts w:ascii="Times New Roman" w:eastAsia="Times New Roman" w:hAnsi="Times New Roman" w:cs="Times New Roman"/>
            <w:color w:val="0000FF"/>
            <w:sz w:val="28"/>
            <w:szCs w:val="28"/>
            <w:u w:val="single"/>
          </w:rPr>
          <w:t>Điều 15</w:t>
        </w:r>
      </w:hyperlink>
      <w:r w:rsidRPr="00612B7B">
        <w:rPr>
          <w:rFonts w:ascii="Times New Roman" w:eastAsia="Times New Roman" w:hAnsi="Times New Roman" w:cs="Times New Roman"/>
          <w:color w:val="333333"/>
          <w:sz w:val="28"/>
          <w:szCs w:val="28"/>
        </w:rPr>
        <w:t> như sau:</w:t>
      </w:r>
      <w:r w:rsidRPr="00612B7B">
        <w:rPr>
          <w:rFonts w:ascii="Times New Roman" w:eastAsia="Times New Roman" w:hAnsi="Times New Roman" w:cs="Times New Roman"/>
          <w:color w:val="333333"/>
          <w:sz w:val="28"/>
          <w:szCs w:val="28"/>
        </w:rPr>
        <w:br/>
        <w:t>"3. Xét lên lớp đối với học sinh khuyết tật</w:t>
      </w:r>
      <w:r w:rsidRPr="00612B7B">
        <w:rPr>
          <w:rFonts w:ascii="Times New Roman" w:eastAsia="Times New Roman" w:hAnsi="Times New Roman" w:cs="Times New Roman"/>
          <w:color w:val="333333"/>
          <w:sz w:val="28"/>
          <w:szCs w:val="28"/>
        </w:rPr>
        <w:br/>
        <w:t>Hiệu trưởng căn cứ kết quả học tập các môn học, hoạt động giáo dục của học sinh khuyết tật để xét lên lớp đối với học sinh khuyết tật học theo chương trình giáo dục chung hoặc căn cứ vào kết quả thực hiện Kế hoạch giáo dục cá nhân đối với học sinh khuyết tật không đáp ứng được chương trình giáo dục chung để xét lên lớp.".</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8. Sửa đổi, bổ sung </w:t>
      </w:r>
      <w:hyperlink r:id="rId13" w:history="1">
        <w:r w:rsidRPr="00612B7B">
          <w:rPr>
            <w:rFonts w:ascii="Times New Roman" w:eastAsia="Times New Roman" w:hAnsi="Times New Roman" w:cs="Times New Roman"/>
            <w:color w:val="0000FF"/>
            <w:sz w:val="28"/>
            <w:szCs w:val="28"/>
            <w:u w:val="single"/>
          </w:rPr>
          <w:t>Điều 18 </w:t>
        </w:r>
      </w:hyperlink>
      <w:r w:rsidRPr="00612B7B">
        <w:rPr>
          <w:rFonts w:ascii="Times New Roman" w:eastAsia="Times New Roman" w:hAnsi="Times New Roman" w:cs="Times New Roman"/>
          <w:color w:val="333333"/>
          <w:sz w:val="28"/>
          <w:szCs w:val="28"/>
        </w:rPr>
        <w:t>như sau:</w:t>
      </w:r>
      <w:r w:rsidRPr="00612B7B">
        <w:rPr>
          <w:rFonts w:ascii="Times New Roman" w:eastAsia="Times New Roman" w:hAnsi="Times New Roman" w:cs="Times New Roman"/>
          <w:color w:val="333333"/>
          <w:sz w:val="28"/>
          <w:szCs w:val="28"/>
        </w:rPr>
        <w:br/>
        <w:t>"Điều 18. Xét công nhận danh hiệu học sinh</w:t>
      </w:r>
      <w:r w:rsidRPr="00612B7B">
        <w:rPr>
          <w:rFonts w:ascii="Times New Roman" w:eastAsia="Times New Roman" w:hAnsi="Times New Roman" w:cs="Times New Roman"/>
          <w:color w:val="333333"/>
          <w:sz w:val="28"/>
          <w:szCs w:val="28"/>
        </w:rPr>
        <w:br/>
        <w:t>1. Công nhận đạt danh hiệu học sinh giỏi học kì hoặc cả năm học, nếu đạt hạnh kiểm loại tốt và học lực loại giỏi.</w:t>
      </w:r>
      <w:r w:rsidRPr="00612B7B">
        <w:rPr>
          <w:rFonts w:ascii="Times New Roman" w:eastAsia="Times New Roman" w:hAnsi="Times New Roman" w:cs="Times New Roman"/>
          <w:color w:val="333333"/>
          <w:sz w:val="28"/>
          <w:szCs w:val="28"/>
        </w:rPr>
        <w:br/>
        <w:t>2. Công nhận đạt danh hiệu học sinh tiên tiến học kì hoặc cả năm học, nếu đạt hạnh kiểm từ loại khá trở lên và học lực từ loại khá trở lên.</w:t>
      </w:r>
      <w:r w:rsidRPr="00612B7B">
        <w:rPr>
          <w:rFonts w:ascii="Times New Roman" w:eastAsia="Times New Roman" w:hAnsi="Times New Roman" w:cs="Times New Roman"/>
          <w:color w:val="333333"/>
          <w:sz w:val="28"/>
          <w:szCs w:val="28"/>
        </w:rPr>
        <w:br/>
        <w:t>3. Học sinh đạt thành tích nổi bật hoặc có tiến bộ vượt bậc trong học tập, rèn luyện được Hiệu trưởng tặng giấy khen.".</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9. Sửa đổi, bổ sung </w:t>
      </w:r>
      <w:hyperlink r:id="rId14" w:history="1">
        <w:r w:rsidRPr="00612B7B">
          <w:rPr>
            <w:rFonts w:ascii="Times New Roman" w:eastAsia="Times New Roman" w:hAnsi="Times New Roman" w:cs="Times New Roman"/>
            <w:color w:val="0000FF"/>
            <w:sz w:val="28"/>
            <w:szCs w:val="28"/>
            <w:u w:val="single"/>
          </w:rPr>
          <w:t>khoản 1</w:t>
        </w:r>
      </w:hyperlink>
      <w:r w:rsidRPr="00612B7B">
        <w:rPr>
          <w:rFonts w:ascii="Times New Roman" w:eastAsia="Times New Roman" w:hAnsi="Times New Roman" w:cs="Times New Roman"/>
          <w:color w:val="333333"/>
          <w:sz w:val="28"/>
          <w:szCs w:val="28"/>
        </w:rPr>
        <w:t> và </w:t>
      </w:r>
      <w:hyperlink r:id="rId15" w:history="1">
        <w:r w:rsidRPr="00612B7B">
          <w:rPr>
            <w:rFonts w:ascii="Times New Roman" w:eastAsia="Times New Roman" w:hAnsi="Times New Roman" w:cs="Times New Roman"/>
            <w:color w:val="0000FF"/>
            <w:sz w:val="28"/>
            <w:szCs w:val="28"/>
            <w:u w:val="single"/>
          </w:rPr>
          <w:t>khoản 2 Điều 19</w:t>
        </w:r>
      </w:hyperlink>
      <w:r w:rsidRPr="00612B7B">
        <w:rPr>
          <w:rFonts w:ascii="Times New Roman" w:eastAsia="Times New Roman" w:hAnsi="Times New Roman" w:cs="Times New Roman"/>
          <w:color w:val="333333"/>
          <w:sz w:val="28"/>
          <w:szCs w:val="28"/>
        </w:rPr>
        <w:t> như sau:</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"1. Thực hiện kiểm tra, đánh giá thường xuyên; tham gia kiểm tra, đánh giá định kì theo phân công của Hiệu trưởng; trực tiếp ghi điểm hoặc mức nhận xét (đối với các môn đánh giá bằng nhận xét) vào sổ theo dõi và đánh giá học sinh. Đối với hình thức kiểm tra, đánh giá bằng hỏi - đáp, giáo viên phải nhận xét, góp ý kết quả trả lời của học sinh trước lớp; nếu quyết định cho điểm hoặc ghi nhận xét (đối với các môn đánh giá bằng nhận xét) vào sổ theo dõi và đánh giá học sinh thì phải thực hiện ngay sau đó.</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2. Tính điểm trung bình môn học (đối với các môn học kết hợp đánh giá bằng nhận xét và điểm số), xếp loại nhận xét môn học (đối với các môn học đánh giá bằng nhận xét) theo học kì, cả năm học và trực tiếp vào sổ theo dõi và đánh giá học sinh, học bạ.”.</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10. Sửa đổi, bổ sung </w:t>
      </w:r>
      <w:hyperlink r:id="rId16" w:history="1">
        <w:r w:rsidRPr="00612B7B">
          <w:rPr>
            <w:rFonts w:ascii="Times New Roman" w:eastAsia="Times New Roman" w:hAnsi="Times New Roman" w:cs="Times New Roman"/>
            <w:color w:val="0000FF"/>
            <w:sz w:val="28"/>
            <w:szCs w:val="28"/>
            <w:u w:val="single"/>
          </w:rPr>
          <w:t>Khoản 4 Điều 21</w:t>
        </w:r>
      </w:hyperlink>
      <w:r w:rsidRPr="00612B7B">
        <w:rPr>
          <w:rFonts w:ascii="Times New Roman" w:eastAsia="Times New Roman" w:hAnsi="Times New Roman" w:cs="Times New Roman"/>
          <w:color w:val="333333"/>
          <w:sz w:val="28"/>
          <w:szCs w:val="28"/>
        </w:rPr>
        <w:t> như sau:</w:t>
      </w:r>
      <w:r w:rsidRPr="00612B7B">
        <w:rPr>
          <w:rFonts w:ascii="Times New Roman" w:eastAsia="Times New Roman" w:hAnsi="Times New Roman" w:cs="Times New Roman"/>
          <w:color w:val="333333"/>
          <w:sz w:val="28"/>
          <w:szCs w:val="28"/>
        </w:rPr>
        <w:br/>
        <w:t>"4. Tổ chức thực hiện kiểm tra, đánh giá định kì các môn học theo quy định tại Quy chế này; kiểm tra, đánh giá lại các môn học theo quy định tại Điều 16 Quy chế này; phê duyệt và công bố danh sách học sinh được lên lớp sau khi có kết quả kiểm tra lại các môn học, kết quả rèn luyện về hạnh kiểm trong kì nghỉ hè.".</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b/>
          <w:bCs/>
          <w:color w:val="333333"/>
          <w:sz w:val="28"/>
          <w:szCs w:val="28"/>
        </w:rPr>
        <w:t xml:space="preserve">Điều 2. Bãi bỏ một số điểm và thay thế một số từ, cụm từ tại một số Điều của Quy chế đánh giá, xếp loại học sinh trung học cơ sở và học sinh trung học phổ </w:t>
      </w:r>
      <w:r w:rsidRPr="00612B7B">
        <w:rPr>
          <w:rFonts w:ascii="Times New Roman" w:eastAsia="Times New Roman" w:hAnsi="Times New Roman" w:cs="Times New Roman"/>
          <w:b/>
          <w:bCs/>
          <w:color w:val="333333"/>
          <w:sz w:val="28"/>
          <w:szCs w:val="28"/>
        </w:rPr>
        <w:lastRenderedPageBreak/>
        <w:t>thông ban hành kèm theo Thông tư số 58/2011/TT-BGDĐT ngày 12 tháng 12 năm 2011 của Bộ trưởng Bộ Giáo dục và Đào tạo</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1. Bãi bỏ </w:t>
      </w:r>
      <w:hyperlink r:id="rId17" w:history="1">
        <w:r w:rsidRPr="00612B7B">
          <w:rPr>
            <w:rFonts w:ascii="Times New Roman" w:eastAsia="Times New Roman" w:hAnsi="Times New Roman" w:cs="Times New Roman"/>
            <w:color w:val="0000FF"/>
            <w:sz w:val="28"/>
            <w:szCs w:val="28"/>
            <w:u w:val="single"/>
          </w:rPr>
          <w:t>điểm c</w:t>
        </w:r>
      </w:hyperlink>
      <w:r w:rsidRPr="00612B7B">
        <w:rPr>
          <w:rFonts w:ascii="Times New Roman" w:eastAsia="Times New Roman" w:hAnsi="Times New Roman" w:cs="Times New Roman"/>
          <w:color w:val="333333"/>
          <w:sz w:val="28"/>
          <w:szCs w:val="28"/>
        </w:rPr>
        <w:t> và </w:t>
      </w:r>
      <w:hyperlink r:id="rId18" w:history="1">
        <w:r w:rsidRPr="00612B7B">
          <w:rPr>
            <w:rFonts w:ascii="Times New Roman" w:eastAsia="Times New Roman" w:hAnsi="Times New Roman" w:cs="Times New Roman"/>
            <w:color w:val="0000FF"/>
            <w:sz w:val="28"/>
            <w:szCs w:val="28"/>
            <w:u w:val="single"/>
          </w:rPr>
          <w:t>điểm d khoản 1 Điều 6</w:t>
        </w:r>
      </w:hyperlink>
      <w:r w:rsidRPr="00612B7B">
        <w:rPr>
          <w:rFonts w:ascii="Times New Roman" w:eastAsia="Times New Roman" w:hAnsi="Times New Roman" w:cs="Times New Roman"/>
          <w:color w:val="333333"/>
          <w:sz w:val="28"/>
          <w:szCs w:val="28"/>
        </w:rPr>
        <w:t>.</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2. Thay thế cụm từ "cho điểm" tại </w:t>
      </w:r>
      <w:hyperlink r:id="rId19" w:history="1">
        <w:r w:rsidRPr="00612B7B">
          <w:rPr>
            <w:rFonts w:ascii="Times New Roman" w:eastAsia="Times New Roman" w:hAnsi="Times New Roman" w:cs="Times New Roman"/>
            <w:color w:val="0000FF"/>
            <w:sz w:val="28"/>
            <w:szCs w:val="28"/>
            <w:u w:val="single"/>
          </w:rPr>
          <w:t>Điều 9</w:t>
        </w:r>
      </w:hyperlink>
      <w:r w:rsidRPr="00612B7B">
        <w:rPr>
          <w:rFonts w:ascii="Times New Roman" w:eastAsia="Times New Roman" w:hAnsi="Times New Roman" w:cs="Times New Roman"/>
          <w:color w:val="333333"/>
          <w:sz w:val="28"/>
          <w:szCs w:val="28"/>
        </w:rPr>
        <w:t> bằng cụm từ "đánh giá".</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3. Thay thế cụm từ "số lần" tại gạch đầu dòng thứ nhất </w:t>
      </w:r>
      <w:hyperlink r:id="rId20" w:history="1">
        <w:r w:rsidRPr="00612B7B">
          <w:rPr>
            <w:rFonts w:ascii="Times New Roman" w:eastAsia="Times New Roman" w:hAnsi="Times New Roman" w:cs="Times New Roman"/>
            <w:color w:val="0000FF"/>
            <w:sz w:val="28"/>
            <w:szCs w:val="28"/>
            <w:u w:val="single"/>
          </w:rPr>
          <w:t>điểm a khoản 2 Điều 10</w:t>
        </w:r>
      </w:hyperlink>
      <w:r w:rsidRPr="00612B7B">
        <w:rPr>
          <w:rFonts w:ascii="Times New Roman" w:eastAsia="Times New Roman" w:hAnsi="Times New Roman" w:cs="Times New Roman"/>
          <w:color w:val="333333"/>
          <w:sz w:val="28"/>
          <w:szCs w:val="28"/>
        </w:rPr>
        <w:t> bằng cụm từ "số điểm".</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4. Thay thế cụm từ "cho điểm" bằng cụm từ "điểm số" tại </w:t>
      </w:r>
      <w:hyperlink r:id="rId21" w:history="1">
        <w:r w:rsidRPr="00612B7B">
          <w:rPr>
            <w:rFonts w:ascii="Times New Roman" w:eastAsia="Times New Roman" w:hAnsi="Times New Roman" w:cs="Times New Roman"/>
            <w:color w:val="0000FF"/>
            <w:sz w:val="28"/>
            <w:szCs w:val="28"/>
            <w:u w:val="single"/>
          </w:rPr>
          <w:t>khoản 1</w:t>
        </w:r>
      </w:hyperlink>
      <w:r w:rsidRPr="00612B7B">
        <w:rPr>
          <w:rFonts w:ascii="Times New Roman" w:eastAsia="Times New Roman" w:hAnsi="Times New Roman" w:cs="Times New Roman"/>
          <w:color w:val="333333"/>
          <w:sz w:val="28"/>
          <w:szCs w:val="28"/>
        </w:rPr>
        <w:t> và </w:t>
      </w:r>
      <w:hyperlink r:id="rId22" w:history="1">
        <w:r w:rsidRPr="00612B7B">
          <w:rPr>
            <w:rFonts w:ascii="Times New Roman" w:eastAsia="Times New Roman" w:hAnsi="Times New Roman" w:cs="Times New Roman"/>
            <w:color w:val="0000FF"/>
            <w:sz w:val="28"/>
            <w:szCs w:val="28"/>
            <w:u w:val="single"/>
          </w:rPr>
          <w:t>khoản 2 Điều 11</w:t>
        </w:r>
      </w:hyperlink>
      <w:r w:rsidRPr="00612B7B">
        <w:rPr>
          <w:rFonts w:ascii="Times New Roman" w:eastAsia="Times New Roman" w:hAnsi="Times New Roman" w:cs="Times New Roman"/>
          <w:color w:val="333333"/>
          <w:sz w:val="28"/>
          <w:szCs w:val="28"/>
        </w:rPr>
        <w:t>.</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5. Thay thế cụm từ "Quyết định số 69/2007/QĐ-BGDĐT ngày 14/11/2007" tại </w:t>
      </w:r>
      <w:hyperlink r:id="rId23" w:history="1">
        <w:r w:rsidRPr="00612B7B">
          <w:rPr>
            <w:rFonts w:ascii="Times New Roman" w:eastAsia="Times New Roman" w:hAnsi="Times New Roman" w:cs="Times New Roman"/>
            <w:color w:val="0000FF"/>
            <w:sz w:val="28"/>
            <w:szCs w:val="28"/>
            <w:u w:val="single"/>
          </w:rPr>
          <w:t>khoản 5 Điều 12</w:t>
        </w:r>
      </w:hyperlink>
      <w:r w:rsidRPr="00612B7B">
        <w:rPr>
          <w:rFonts w:ascii="Times New Roman" w:eastAsia="Times New Roman" w:hAnsi="Times New Roman" w:cs="Times New Roman"/>
          <w:color w:val="333333"/>
          <w:sz w:val="28"/>
          <w:szCs w:val="28"/>
        </w:rPr>
        <w:t> bằng cụm từ "Thông tư số 40/2012/TT-BGDĐT ngày 19 tháng 11 năm 2012".</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6. Thay thế cụm từ "của 1 trong 2 môn Toán, Ngữ văn" tại </w:t>
      </w:r>
      <w:hyperlink r:id="rId24" w:history="1">
        <w:r w:rsidRPr="00612B7B">
          <w:rPr>
            <w:rFonts w:ascii="Times New Roman" w:eastAsia="Times New Roman" w:hAnsi="Times New Roman" w:cs="Times New Roman"/>
            <w:color w:val="0000FF"/>
            <w:sz w:val="28"/>
            <w:szCs w:val="28"/>
            <w:u w:val="single"/>
          </w:rPr>
          <w:t>khoản 1</w:t>
        </w:r>
      </w:hyperlink>
      <w:r w:rsidRPr="00612B7B">
        <w:rPr>
          <w:rFonts w:ascii="Times New Roman" w:eastAsia="Times New Roman" w:hAnsi="Times New Roman" w:cs="Times New Roman"/>
          <w:color w:val="333333"/>
          <w:sz w:val="28"/>
          <w:szCs w:val="28"/>
        </w:rPr>
        <w:t>, </w:t>
      </w:r>
      <w:hyperlink r:id="rId25" w:history="1">
        <w:r w:rsidRPr="00612B7B">
          <w:rPr>
            <w:rFonts w:ascii="Times New Roman" w:eastAsia="Times New Roman" w:hAnsi="Times New Roman" w:cs="Times New Roman"/>
            <w:color w:val="0000FF"/>
            <w:sz w:val="28"/>
            <w:szCs w:val="28"/>
            <w:u w:val="single"/>
          </w:rPr>
          <w:t>khoản 2</w:t>
        </w:r>
      </w:hyperlink>
      <w:r w:rsidRPr="00612B7B">
        <w:rPr>
          <w:rFonts w:ascii="Times New Roman" w:eastAsia="Times New Roman" w:hAnsi="Times New Roman" w:cs="Times New Roman"/>
          <w:color w:val="333333"/>
          <w:sz w:val="28"/>
          <w:szCs w:val="28"/>
        </w:rPr>
        <w:t> và </w:t>
      </w:r>
      <w:hyperlink r:id="rId26" w:history="1">
        <w:r w:rsidRPr="00612B7B">
          <w:rPr>
            <w:rFonts w:ascii="Times New Roman" w:eastAsia="Times New Roman" w:hAnsi="Times New Roman" w:cs="Times New Roman"/>
            <w:color w:val="0000FF"/>
            <w:sz w:val="28"/>
            <w:szCs w:val="28"/>
            <w:u w:val="single"/>
          </w:rPr>
          <w:t>khoản 3 Điều 13</w:t>
        </w:r>
      </w:hyperlink>
      <w:r w:rsidRPr="00612B7B">
        <w:rPr>
          <w:rFonts w:ascii="Times New Roman" w:eastAsia="Times New Roman" w:hAnsi="Times New Roman" w:cs="Times New Roman"/>
          <w:color w:val="333333"/>
          <w:sz w:val="28"/>
          <w:szCs w:val="28"/>
        </w:rPr>
        <w:t> bằng cụm từ "của 1 trong 3 môn Toán, Ngữ văn, Ngoại ngữ".</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7. Thay thế cụm từ "của một môn học nào đó" tại </w:t>
      </w:r>
      <w:hyperlink r:id="rId27" w:history="1">
        <w:r w:rsidRPr="00612B7B">
          <w:rPr>
            <w:rFonts w:ascii="Times New Roman" w:eastAsia="Times New Roman" w:hAnsi="Times New Roman" w:cs="Times New Roman"/>
            <w:color w:val="0000FF"/>
            <w:sz w:val="28"/>
            <w:szCs w:val="28"/>
            <w:u w:val="single"/>
          </w:rPr>
          <w:t>khoản 6 Điều 13</w:t>
        </w:r>
      </w:hyperlink>
      <w:r w:rsidRPr="00612B7B">
        <w:rPr>
          <w:rFonts w:ascii="Times New Roman" w:eastAsia="Times New Roman" w:hAnsi="Times New Roman" w:cs="Times New Roman"/>
          <w:color w:val="333333"/>
          <w:sz w:val="28"/>
          <w:szCs w:val="28"/>
        </w:rPr>
        <w:t> bằng cụm từ "của duy nhất một môn học nào đó".</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b/>
          <w:bCs/>
          <w:color w:val="333333"/>
          <w:sz w:val="28"/>
          <w:szCs w:val="28"/>
        </w:rPr>
        <w:t>Điều 3. Hiệu lực thi hành</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1. Thông tư này có hiệu lực thi hành từ ngày 11 tháng 10 năm 2020.</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2. Thông tư này thực hiện từ năm học 2020 - 2021 đối với học sinh trung học cơ sở và trung học phổ thông học theo chương trình giáo dục phổ thông ban hành kèm theo các quyết định sau đây:</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a) Quyết định số 16/2006/QĐ-BGDĐT ngày 05 tháng 5 năm 2006 của Bộ trưởng Bộ Giáo dục và Đào tạo Ban hành Chương trình giáo dục phổ thông;</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b) Quyết định số 01/QĐ-BGDĐT ngày 03 tháng 01 năm 2012 của Bộ trưởng Bộ Giáo dục và Đào tạo về việc ban hành Chương trình giáo dục phổ thông môn Tiếng Anh thí điểm cấp trung học cơ sở;</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c) Quyết định số 5209/QĐ-BGDĐT ngày 23 tháng 11 năm 2012 của Bộ trưởng Bộ Giáo dục và Đào tạo về việc ban hành Chương trình giáo dục phổ thông môn Tiếng Anh thí điểm cấp trung học phổ thông;</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d) Quyết định số 2092/QĐ-BGDĐT ngày 20 tháng 5 năm 2011 của Bộ trưởng Bộ Giáo dục và Đào tạo về việc Ban hành Chương trình môn Tiếng Pháp Ngoại ngữ 2;</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đ) Quyết định số 3452/QĐ-BGDĐT ngày 18 tháng 8 năm 2010 của Bộ trưởng Bộ Giáo dục và Đào tạo về việc Phê duyệt Chương trình các môn học trong Chương trình song ngữ Tiếng Pháp (gồm các môn Tiếng Pháp, Toán bằng Tiếng Pháp, Vật lí bằng Tiếng Pháp);</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e) Quyết định số 3735/QĐ-BGDĐT ngày 22 tháng 9 năm 2016 của Bộ trưởng Bộ Giáo dục và Đào tạo về việc Phê duyệt Chương trình giáo dục phổ thông thí điểm môn Tiếng Hàn-Ngoại ngữ 2 cấp trung học;</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color w:val="333333"/>
          <w:sz w:val="28"/>
          <w:szCs w:val="28"/>
        </w:rPr>
        <w:t xml:space="preserve">g) Quyết định số 2744/QĐ-BGDĐT ngày 09 tháng 9 năm 2019 của Bộ trưởng Bộ Giáo dục và Đào tạo về việc ban hành Chương trình giáo dục phổ thông thí điểm </w:t>
      </w:r>
      <w:r w:rsidRPr="00612B7B">
        <w:rPr>
          <w:rFonts w:ascii="Times New Roman" w:eastAsia="Times New Roman" w:hAnsi="Times New Roman" w:cs="Times New Roman"/>
          <w:color w:val="333333"/>
          <w:sz w:val="28"/>
          <w:szCs w:val="28"/>
        </w:rPr>
        <w:lastRenderedPageBreak/>
        <w:t>môn Tiếng Nhật-Ngoại ngữ 1 hệ 10 năm cấp trung học cơ sở và trung học phổ thông.</w:t>
      </w:r>
    </w:p>
    <w:p w:rsidR="00612B7B" w:rsidRPr="00612B7B" w:rsidRDefault="00612B7B" w:rsidP="00331EF2">
      <w:pPr>
        <w:spacing w:after="0" w:line="240" w:lineRule="auto"/>
        <w:rPr>
          <w:rFonts w:ascii="Times New Roman" w:eastAsia="Times New Roman" w:hAnsi="Times New Roman" w:cs="Times New Roman"/>
          <w:color w:val="333333"/>
          <w:sz w:val="28"/>
          <w:szCs w:val="28"/>
        </w:rPr>
      </w:pPr>
      <w:r w:rsidRPr="00612B7B">
        <w:rPr>
          <w:rFonts w:ascii="Times New Roman" w:eastAsia="Times New Roman" w:hAnsi="Times New Roman" w:cs="Times New Roman"/>
          <w:b/>
          <w:bCs/>
          <w:color w:val="333333"/>
          <w:sz w:val="28"/>
          <w:szCs w:val="28"/>
        </w:rPr>
        <w:t>Điều 4. Trách nhiệm tổ chức thực hiện Chánh Văn phòng, Vụ trưởng Vụ Giáo dục Trung học, Cục trưởng Cục Quản lí chất lượng, Thủ trưởng các đơn vị có liên quan thuộc Bộ Giáo dục và Đào tạo, Chủ tịch Ủy ban nhân dân tỉnh, thành phố trực thuộc trung ương, Giám đốc Sở Giáo dục và Đào tạo, Trưởng phòng Giáo dục và Đào tạo, các tổ chức, cá nhân có liên quan chịu trách nhiệm thi hành Thông tư này./.</w:t>
      </w:r>
    </w:p>
    <w:tbl>
      <w:tblPr>
        <w:tblW w:w="5000" w:type="pct"/>
        <w:tblCellMar>
          <w:left w:w="0" w:type="dxa"/>
          <w:right w:w="0" w:type="dxa"/>
        </w:tblCellMar>
        <w:tblLook w:val="04A0" w:firstRow="1" w:lastRow="0" w:firstColumn="1" w:lastColumn="0" w:noHBand="0" w:noVBand="1"/>
      </w:tblPr>
      <w:tblGrid>
        <w:gridCol w:w="5832"/>
        <w:gridCol w:w="3744"/>
      </w:tblGrid>
      <w:tr w:rsidR="00612B7B" w:rsidRPr="00612B7B" w:rsidTr="00612B7B">
        <w:tc>
          <w:tcPr>
            <w:tcW w:w="5490" w:type="dxa"/>
            <w:tcMar>
              <w:top w:w="0" w:type="dxa"/>
              <w:left w:w="108" w:type="dxa"/>
              <w:bottom w:w="0" w:type="dxa"/>
              <w:right w:w="108" w:type="dxa"/>
            </w:tcMar>
            <w:hideMark/>
          </w:tcPr>
          <w:p w:rsidR="00612B7B" w:rsidRPr="00612B7B" w:rsidRDefault="00612B7B" w:rsidP="00331EF2">
            <w:pPr>
              <w:spacing w:after="0" w:line="240" w:lineRule="auto"/>
              <w:rPr>
                <w:rFonts w:ascii="Times New Roman" w:eastAsia="Times New Roman" w:hAnsi="Times New Roman" w:cs="Times New Roman"/>
                <w:color w:val="222222"/>
                <w:sz w:val="28"/>
                <w:szCs w:val="28"/>
              </w:rPr>
            </w:pPr>
            <w:r w:rsidRPr="00612B7B">
              <w:rPr>
                <w:rFonts w:ascii="Times New Roman" w:eastAsia="Times New Roman" w:hAnsi="Times New Roman" w:cs="Times New Roman"/>
                <w:b/>
                <w:bCs/>
                <w:i/>
                <w:iCs/>
                <w:color w:val="222222"/>
                <w:sz w:val="28"/>
                <w:szCs w:val="28"/>
              </w:rPr>
              <w:t>Nơi nhận:</w:t>
            </w:r>
          </w:p>
          <w:p w:rsidR="00612B7B" w:rsidRPr="00612B7B" w:rsidRDefault="00612B7B" w:rsidP="00331EF2">
            <w:pPr>
              <w:spacing w:after="0" w:line="240" w:lineRule="auto"/>
              <w:rPr>
                <w:rFonts w:ascii="Times New Roman" w:eastAsia="Times New Roman" w:hAnsi="Times New Roman" w:cs="Times New Roman"/>
                <w:color w:val="222222"/>
                <w:sz w:val="28"/>
                <w:szCs w:val="28"/>
              </w:rPr>
            </w:pPr>
            <w:r w:rsidRPr="00612B7B">
              <w:rPr>
                <w:rFonts w:ascii="Times New Roman" w:eastAsia="Times New Roman" w:hAnsi="Times New Roman" w:cs="Times New Roman"/>
                <w:color w:val="222222"/>
                <w:sz w:val="28"/>
                <w:szCs w:val="28"/>
              </w:rPr>
              <w:t>- Văn phòng Quốc hội;</w:t>
            </w:r>
          </w:p>
          <w:p w:rsidR="00612B7B" w:rsidRPr="00612B7B" w:rsidRDefault="00612B7B" w:rsidP="00331EF2">
            <w:pPr>
              <w:spacing w:after="0" w:line="240" w:lineRule="auto"/>
              <w:rPr>
                <w:rFonts w:ascii="Times New Roman" w:eastAsia="Times New Roman" w:hAnsi="Times New Roman" w:cs="Times New Roman"/>
                <w:color w:val="222222"/>
                <w:sz w:val="28"/>
                <w:szCs w:val="28"/>
              </w:rPr>
            </w:pPr>
            <w:r w:rsidRPr="00612B7B">
              <w:rPr>
                <w:rFonts w:ascii="Times New Roman" w:eastAsia="Times New Roman" w:hAnsi="Times New Roman" w:cs="Times New Roman"/>
                <w:color w:val="222222"/>
                <w:sz w:val="28"/>
                <w:szCs w:val="28"/>
              </w:rPr>
              <w:t>- Văn phòng Chính phủ;</w:t>
            </w:r>
          </w:p>
          <w:p w:rsidR="00612B7B" w:rsidRPr="00612B7B" w:rsidRDefault="00612B7B" w:rsidP="00331EF2">
            <w:pPr>
              <w:spacing w:after="0" w:line="240" w:lineRule="auto"/>
              <w:rPr>
                <w:rFonts w:ascii="Times New Roman" w:eastAsia="Times New Roman" w:hAnsi="Times New Roman" w:cs="Times New Roman"/>
                <w:color w:val="222222"/>
                <w:sz w:val="28"/>
                <w:szCs w:val="28"/>
              </w:rPr>
            </w:pPr>
            <w:r w:rsidRPr="00612B7B">
              <w:rPr>
                <w:rFonts w:ascii="Times New Roman" w:eastAsia="Times New Roman" w:hAnsi="Times New Roman" w:cs="Times New Roman"/>
                <w:color w:val="222222"/>
                <w:sz w:val="28"/>
                <w:szCs w:val="28"/>
              </w:rPr>
              <w:t>- Ủy ban VHGDTNTNNĐ của Quốc hội;</w:t>
            </w:r>
          </w:p>
          <w:p w:rsidR="00612B7B" w:rsidRPr="00612B7B" w:rsidRDefault="00612B7B" w:rsidP="00331EF2">
            <w:pPr>
              <w:spacing w:after="0" w:line="240" w:lineRule="auto"/>
              <w:rPr>
                <w:rFonts w:ascii="Times New Roman" w:eastAsia="Times New Roman" w:hAnsi="Times New Roman" w:cs="Times New Roman"/>
                <w:color w:val="222222"/>
                <w:sz w:val="28"/>
                <w:szCs w:val="28"/>
              </w:rPr>
            </w:pPr>
            <w:r w:rsidRPr="00612B7B">
              <w:rPr>
                <w:rFonts w:ascii="Times New Roman" w:eastAsia="Times New Roman" w:hAnsi="Times New Roman" w:cs="Times New Roman"/>
                <w:color w:val="222222"/>
                <w:sz w:val="28"/>
                <w:szCs w:val="28"/>
              </w:rPr>
              <w:t>- Ban Tuyên giáo trung ương;</w:t>
            </w:r>
          </w:p>
          <w:p w:rsidR="00612B7B" w:rsidRPr="00612B7B" w:rsidRDefault="00612B7B" w:rsidP="00331EF2">
            <w:pPr>
              <w:spacing w:after="0" w:line="240" w:lineRule="auto"/>
              <w:rPr>
                <w:rFonts w:ascii="Times New Roman" w:eastAsia="Times New Roman" w:hAnsi="Times New Roman" w:cs="Times New Roman"/>
                <w:color w:val="222222"/>
                <w:sz w:val="28"/>
                <w:szCs w:val="28"/>
              </w:rPr>
            </w:pPr>
            <w:r w:rsidRPr="00612B7B">
              <w:rPr>
                <w:rFonts w:ascii="Times New Roman" w:eastAsia="Times New Roman" w:hAnsi="Times New Roman" w:cs="Times New Roman"/>
                <w:color w:val="222222"/>
                <w:sz w:val="28"/>
                <w:szCs w:val="28"/>
              </w:rPr>
              <w:t>- Kiểm toán nhà nước;</w:t>
            </w:r>
          </w:p>
          <w:p w:rsidR="00612B7B" w:rsidRPr="00612B7B" w:rsidRDefault="00612B7B" w:rsidP="00331EF2">
            <w:pPr>
              <w:spacing w:after="0" w:line="240" w:lineRule="auto"/>
              <w:rPr>
                <w:rFonts w:ascii="Times New Roman" w:eastAsia="Times New Roman" w:hAnsi="Times New Roman" w:cs="Times New Roman"/>
                <w:color w:val="222222"/>
                <w:sz w:val="28"/>
                <w:szCs w:val="28"/>
              </w:rPr>
            </w:pPr>
            <w:r w:rsidRPr="00612B7B">
              <w:rPr>
                <w:rFonts w:ascii="Times New Roman" w:eastAsia="Times New Roman" w:hAnsi="Times New Roman" w:cs="Times New Roman"/>
                <w:color w:val="222222"/>
                <w:sz w:val="28"/>
                <w:szCs w:val="28"/>
              </w:rPr>
              <w:t>- Cục KTVBQPPL (Bộ Tư pháp);</w:t>
            </w:r>
          </w:p>
          <w:p w:rsidR="00612B7B" w:rsidRPr="00612B7B" w:rsidRDefault="00612B7B" w:rsidP="00331EF2">
            <w:pPr>
              <w:spacing w:after="0" w:line="240" w:lineRule="auto"/>
              <w:rPr>
                <w:rFonts w:ascii="Times New Roman" w:eastAsia="Times New Roman" w:hAnsi="Times New Roman" w:cs="Times New Roman"/>
                <w:color w:val="222222"/>
                <w:sz w:val="28"/>
                <w:szCs w:val="28"/>
              </w:rPr>
            </w:pPr>
            <w:r w:rsidRPr="00612B7B">
              <w:rPr>
                <w:rFonts w:ascii="Times New Roman" w:eastAsia="Times New Roman" w:hAnsi="Times New Roman" w:cs="Times New Roman"/>
                <w:color w:val="222222"/>
                <w:sz w:val="28"/>
                <w:szCs w:val="28"/>
              </w:rPr>
              <w:t>- Công báo;</w:t>
            </w:r>
          </w:p>
          <w:p w:rsidR="00612B7B" w:rsidRPr="00612B7B" w:rsidRDefault="00612B7B" w:rsidP="00331EF2">
            <w:pPr>
              <w:spacing w:after="0" w:line="240" w:lineRule="auto"/>
              <w:rPr>
                <w:rFonts w:ascii="Times New Roman" w:eastAsia="Times New Roman" w:hAnsi="Times New Roman" w:cs="Times New Roman"/>
                <w:color w:val="222222"/>
                <w:sz w:val="28"/>
                <w:szCs w:val="28"/>
              </w:rPr>
            </w:pPr>
            <w:r w:rsidRPr="00612B7B">
              <w:rPr>
                <w:rFonts w:ascii="Times New Roman" w:eastAsia="Times New Roman" w:hAnsi="Times New Roman" w:cs="Times New Roman"/>
                <w:color w:val="222222"/>
                <w:sz w:val="28"/>
                <w:szCs w:val="28"/>
              </w:rPr>
              <w:t>- Bộ trưởng;</w:t>
            </w:r>
          </w:p>
          <w:p w:rsidR="00612B7B" w:rsidRPr="00612B7B" w:rsidRDefault="00612B7B" w:rsidP="00331EF2">
            <w:pPr>
              <w:spacing w:after="0" w:line="240" w:lineRule="auto"/>
              <w:rPr>
                <w:rFonts w:ascii="Times New Roman" w:eastAsia="Times New Roman" w:hAnsi="Times New Roman" w:cs="Times New Roman"/>
                <w:color w:val="222222"/>
                <w:sz w:val="28"/>
                <w:szCs w:val="28"/>
              </w:rPr>
            </w:pPr>
            <w:r w:rsidRPr="00612B7B">
              <w:rPr>
                <w:rFonts w:ascii="Times New Roman" w:eastAsia="Times New Roman" w:hAnsi="Times New Roman" w:cs="Times New Roman"/>
                <w:color w:val="222222"/>
                <w:sz w:val="28"/>
                <w:szCs w:val="28"/>
              </w:rPr>
              <w:t>- Như Điều 4 (để thực hiện);</w:t>
            </w:r>
          </w:p>
          <w:p w:rsidR="00612B7B" w:rsidRPr="00612B7B" w:rsidRDefault="00612B7B" w:rsidP="00331EF2">
            <w:pPr>
              <w:spacing w:after="0" w:line="240" w:lineRule="auto"/>
              <w:rPr>
                <w:rFonts w:ascii="Times New Roman" w:eastAsia="Times New Roman" w:hAnsi="Times New Roman" w:cs="Times New Roman"/>
                <w:color w:val="222222"/>
                <w:sz w:val="28"/>
                <w:szCs w:val="28"/>
              </w:rPr>
            </w:pPr>
            <w:r w:rsidRPr="00612B7B">
              <w:rPr>
                <w:rFonts w:ascii="Times New Roman" w:eastAsia="Times New Roman" w:hAnsi="Times New Roman" w:cs="Times New Roman"/>
                <w:color w:val="222222"/>
                <w:sz w:val="28"/>
                <w:szCs w:val="28"/>
              </w:rPr>
              <w:t>- Cổng TTĐT Chính phủ;</w:t>
            </w:r>
          </w:p>
          <w:p w:rsidR="00612B7B" w:rsidRPr="00612B7B" w:rsidRDefault="00612B7B" w:rsidP="00331EF2">
            <w:pPr>
              <w:spacing w:after="0" w:line="240" w:lineRule="auto"/>
              <w:rPr>
                <w:rFonts w:ascii="Times New Roman" w:eastAsia="Times New Roman" w:hAnsi="Times New Roman" w:cs="Times New Roman"/>
                <w:color w:val="222222"/>
                <w:sz w:val="28"/>
                <w:szCs w:val="28"/>
              </w:rPr>
            </w:pPr>
            <w:r w:rsidRPr="00612B7B">
              <w:rPr>
                <w:rFonts w:ascii="Times New Roman" w:eastAsia="Times New Roman" w:hAnsi="Times New Roman" w:cs="Times New Roman"/>
                <w:color w:val="222222"/>
                <w:sz w:val="28"/>
                <w:szCs w:val="28"/>
              </w:rPr>
              <w:t>- Cổng TTĐT Bộ GDĐT;</w:t>
            </w:r>
          </w:p>
          <w:p w:rsidR="00612B7B" w:rsidRPr="00612B7B" w:rsidRDefault="00612B7B" w:rsidP="00331EF2">
            <w:pPr>
              <w:spacing w:after="0" w:line="240" w:lineRule="auto"/>
              <w:rPr>
                <w:rFonts w:ascii="Times New Roman" w:eastAsia="Times New Roman" w:hAnsi="Times New Roman" w:cs="Times New Roman"/>
                <w:color w:val="222222"/>
                <w:sz w:val="28"/>
                <w:szCs w:val="28"/>
              </w:rPr>
            </w:pPr>
            <w:r w:rsidRPr="00612B7B">
              <w:rPr>
                <w:rFonts w:ascii="Times New Roman" w:eastAsia="Times New Roman" w:hAnsi="Times New Roman" w:cs="Times New Roman"/>
                <w:color w:val="222222"/>
                <w:sz w:val="28"/>
                <w:szCs w:val="28"/>
              </w:rPr>
              <w:t>- Lưu: VT, Vụ PC, Vụ GDTrH.</w:t>
            </w:r>
          </w:p>
        </w:tc>
        <w:tc>
          <w:tcPr>
            <w:tcW w:w="3525" w:type="dxa"/>
            <w:tcMar>
              <w:top w:w="0" w:type="dxa"/>
              <w:left w:w="108" w:type="dxa"/>
              <w:bottom w:w="0" w:type="dxa"/>
              <w:right w:w="108" w:type="dxa"/>
            </w:tcMar>
            <w:hideMark/>
          </w:tcPr>
          <w:p w:rsidR="00612B7B" w:rsidRPr="00612B7B" w:rsidRDefault="00612B7B" w:rsidP="00331EF2">
            <w:pPr>
              <w:spacing w:after="0" w:line="240" w:lineRule="auto"/>
              <w:rPr>
                <w:rFonts w:ascii="Times New Roman" w:eastAsia="Times New Roman" w:hAnsi="Times New Roman" w:cs="Times New Roman"/>
                <w:color w:val="222222"/>
                <w:sz w:val="28"/>
                <w:szCs w:val="28"/>
              </w:rPr>
            </w:pPr>
            <w:r w:rsidRPr="00612B7B">
              <w:rPr>
                <w:rFonts w:ascii="Times New Roman" w:eastAsia="Times New Roman" w:hAnsi="Times New Roman" w:cs="Times New Roman"/>
                <w:b/>
                <w:bCs/>
                <w:color w:val="222222"/>
                <w:sz w:val="28"/>
                <w:szCs w:val="28"/>
              </w:rPr>
              <w:t>KT. BỘ TRƯỞNG</w:t>
            </w:r>
          </w:p>
          <w:p w:rsidR="00612B7B" w:rsidRPr="00612B7B" w:rsidRDefault="00612B7B" w:rsidP="00331EF2">
            <w:pPr>
              <w:spacing w:after="0" w:line="240" w:lineRule="auto"/>
              <w:rPr>
                <w:rFonts w:ascii="Times New Roman" w:eastAsia="Times New Roman" w:hAnsi="Times New Roman" w:cs="Times New Roman"/>
                <w:color w:val="222222"/>
                <w:sz w:val="28"/>
                <w:szCs w:val="28"/>
              </w:rPr>
            </w:pPr>
            <w:r w:rsidRPr="00612B7B">
              <w:rPr>
                <w:rFonts w:ascii="Times New Roman" w:eastAsia="Times New Roman" w:hAnsi="Times New Roman" w:cs="Times New Roman"/>
                <w:b/>
                <w:bCs/>
                <w:color w:val="222222"/>
                <w:sz w:val="28"/>
                <w:szCs w:val="28"/>
              </w:rPr>
              <w:t>THỨ TRƯỞNG</w:t>
            </w:r>
          </w:p>
          <w:p w:rsidR="00612B7B" w:rsidRPr="00612B7B" w:rsidRDefault="00612B7B" w:rsidP="00331EF2">
            <w:pPr>
              <w:spacing w:after="0" w:line="240" w:lineRule="auto"/>
              <w:rPr>
                <w:rFonts w:ascii="Times New Roman" w:eastAsia="Times New Roman" w:hAnsi="Times New Roman" w:cs="Times New Roman"/>
                <w:color w:val="222222"/>
                <w:sz w:val="28"/>
                <w:szCs w:val="28"/>
              </w:rPr>
            </w:pPr>
            <w:r w:rsidRPr="00612B7B">
              <w:rPr>
                <w:rFonts w:ascii="Times New Roman" w:eastAsia="Times New Roman" w:hAnsi="Times New Roman" w:cs="Times New Roman"/>
                <w:color w:val="222222"/>
                <w:sz w:val="28"/>
                <w:szCs w:val="28"/>
              </w:rPr>
              <w:t> </w:t>
            </w:r>
          </w:p>
          <w:p w:rsidR="00612B7B" w:rsidRPr="00612B7B" w:rsidRDefault="00612B7B" w:rsidP="00331EF2">
            <w:pPr>
              <w:spacing w:after="0" w:line="240" w:lineRule="auto"/>
              <w:rPr>
                <w:rFonts w:ascii="Times New Roman" w:eastAsia="Times New Roman" w:hAnsi="Times New Roman" w:cs="Times New Roman"/>
                <w:color w:val="222222"/>
                <w:sz w:val="28"/>
                <w:szCs w:val="28"/>
              </w:rPr>
            </w:pPr>
            <w:r w:rsidRPr="00612B7B">
              <w:rPr>
                <w:rFonts w:ascii="Times New Roman" w:eastAsia="Times New Roman" w:hAnsi="Times New Roman" w:cs="Times New Roman"/>
                <w:color w:val="222222"/>
                <w:sz w:val="28"/>
                <w:szCs w:val="28"/>
              </w:rPr>
              <w:t> </w:t>
            </w:r>
          </w:p>
          <w:p w:rsidR="00612B7B" w:rsidRPr="00612B7B" w:rsidRDefault="00612B7B" w:rsidP="00331EF2">
            <w:pPr>
              <w:spacing w:after="0" w:line="240" w:lineRule="auto"/>
              <w:rPr>
                <w:rFonts w:ascii="Times New Roman" w:eastAsia="Times New Roman" w:hAnsi="Times New Roman" w:cs="Times New Roman"/>
                <w:color w:val="222222"/>
                <w:sz w:val="28"/>
                <w:szCs w:val="28"/>
              </w:rPr>
            </w:pPr>
            <w:r w:rsidRPr="00612B7B">
              <w:rPr>
                <w:rFonts w:ascii="Times New Roman" w:eastAsia="Times New Roman" w:hAnsi="Times New Roman" w:cs="Times New Roman"/>
                <w:color w:val="222222"/>
                <w:sz w:val="28"/>
                <w:szCs w:val="28"/>
              </w:rPr>
              <w:t> </w:t>
            </w:r>
          </w:p>
          <w:p w:rsidR="00612B7B" w:rsidRPr="00612B7B" w:rsidRDefault="00612B7B" w:rsidP="00331EF2">
            <w:pPr>
              <w:spacing w:after="0" w:line="240" w:lineRule="auto"/>
              <w:rPr>
                <w:rFonts w:ascii="Times New Roman" w:eastAsia="Times New Roman" w:hAnsi="Times New Roman" w:cs="Times New Roman"/>
                <w:color w:val="222222"/>
                <w:sz w:val="28"/>
                <w:szCs w:val="28"/>
              </w:rPr>
            </w:pPr>
            <w:r w:rsidRPr="00612B7B">
              <w:rPr>
                <w:rFonts w:ascii="Times New Roman" w:eastAsia="Times New Roman" w:hAnsi="Times New Roman" w:cs="Times New Roman"/>
                <w:color w:val="222222"/>
                <w:sz w:val="28"/>
                <w:szCs w:val="28"/>
              </w:rPr>
              <w:t> </w:t>
            </w:r>
          </w:p>
          <w:p w:rsidR="00612B7B" w:rsidRPr="00612B7B" w:rsidRDefault="00612B7B" w:rsidP="00331EF2">
            <w:pPr>
              <w:spacing w:after="0" w:line="240" w:lineRule="auto"/>
              <w:rPr>
                <w:rFonts w:ascii="Times New Roman" w:eastAsia="Times New Roman" w:hAnsi="Times New Roman" w:cs="Times New Roman"/>
                <w:color w:val="222222"/>
                <w:sz w:val="28"/>
                <w:szCs w:val="28"/>
              </w:rPr>
            </w:pPr>
            <w:r w:rsidRPr="00612B7B">
              <w:rPr>
                <w:rFonts w:ascii="Times New Roman" w:eastAsia="Times New Roman" w:hAnsi="Times New Roman" w:cs="Times New Roman"/>
                <w:b/>
                <w:bCs/>
                <w:color w:val="222222"/>
                <w:sz w:val="28"/>
                <w:szCs w:val="28"/>
              </w:rPr>
              <w:t>Nguyễn Hữu Độ</w:t>
            </w:r>
          </w:p>
        </w:tc>
      </w:tr>
    </w:tbl>
    <w:p w:rsidR="00A03E52" w:rsidRPr="00612B7B" w:rsidRDefault="00A03E52" w:rsidP="00331EF2">
      <w:pPr>
        <w:rPr>
          <w:rFonts w:ascii="Times New Roman" w:hAnsi="Times New Roman" w:cs="Times New Roman"/>
          <w:sz w:val="28"/>
          <w:szCs w:val="28"/>
        </w:rPr>
      </w:pPr>
    </w:p>
    <w:sectPr w:rsidR="00A03E52" w:rsidRPr="00612B7B">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D42" w:rsidRDefault="006F1D42" w:rsidP="00D40865">
      <w:pPr>
        <w:spacing w:after="0" w:line="240" w:lineRule="auto"/>
      </w:pPr>
      <w:r>
        <w:separator/>
      </w:r>
    </w:p>
  </w:endnote>
  <w:endnote w:type="continuationSeparator" w:id="0">
    <w:p w:rsidR="006F1D42" w:rsidRDefault="006F1D42" w:rsidP="00D40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841255"/>
      <w:docPartObj>
        <w:docPartGallery w:val="Page Numbers (Bottom of Page)"/>
        <w:docPartUnique/>
      </w:docPartObj>
    </w:sdtPr>
    <w:sdtEndPr>
      <w:rPr>
        <w:noProof/>
      </w:rPr>
    </w:sdtEndPr>
    <w:sdtContent>
      <w:p w:rsidR="00D40865" w:rsidRDefault="00D40865">
        <w:pPr>
          <w:pStyle w:val="Footer"/>
          <w:jc w:val="right"/>
        </w:pPr>
        <w:r>
          <w:fldChar w:fldCharType="begin"/>
        </w:r>
        <w:r>
          <w:instrText xml:space="preserve"> PAGE   \* MERGEFORMAT </w:instrText>
        </w:r>
        <w:r>
          <w:fldChar w:fldCharType="separate"/>
        </w:r>
        <w:r w:rsidR="00331EF2">
          <w:rPr>
            <w:noProof/>
          </w:rPr>
          <w:t>1</w:t>
        </w:r>
        <w:r>
          <w:rPr>
            <w:noProof/>
          </w:rPr>
          <w:fldChar w:fldCharType="end"/>
        </w:r>
      </w:p>
    </w:sdtContent>
  </w:sdt>
  <w:p w:rsidR="00D40865" w:rsidRDefault="00D408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D42" w:rsidRDefault="006F1D42" w:rsidP="00D40865">
      <w:pPr>
        <w:spacing w:after="0" w:line="240" w:lineRule="auto"/>
      </w:pPr>
      <w:r>
        <w:separator/>
      </w:r>
    </w:p>
  </w:footnote>
  <w:footnote w:type="continuationSeparator" w:id="0">
    <w:p w:rsidR="006F1D42" w:rsidRDefault="006F1D42" w:rsidP="00D408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B7B"/>
    <w:rsid w:val="0031487A"/>
    <w:rsid w:val="00331EF2"/>
    <w:rsid w:val="00612B7B"/>
    <w:rsid w:val="006F1D42"/>
    <w:rsid w:val="00A03E52"/>
    <w:rsid w:val="00D4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865"/>
  </w:style>
  <w:style w:type="paragraph" w:styleId="Footer">
    <w:name w:val="footer"/>
    <w:basedOn w:val="Normal"/>
    <w:link w:val="FooterChar"/>
    <w:uiPriority w:val="99"/>
    <w:unhideWhenUsed/>
    <w:rsid w:val="00D40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8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0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865"/>
  </w:style>
  <w:style w:type="paragraph" w:styleId="Footer">
    <w:name w:val="footer"/>
    <w:basedOn w:val="Normal"/>
    <w:link w:val="FooterChar"/>
    <w:uiPriority w:val="99"/>
    <w:unhideWhenUsed/>
    <w:rsid w:val="00D40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289811">
      <w:bodyDiv w:val="1"/>
      <w:marLeft w:val="0"/>
      <w:marRight w:val="0"/>
      <w:marTop w:val="0"/>
      <w:marBottom w:val="0"/>
      <w:divBdr>
        <w:top w:val="none" w:sz="0" w:space="0" w:color="auto"/>
        <w:left w:val="none" w:sz="0" w:space="0" w:color="auto"/>
        <w:bottom w:val="none" w:sz="0" w:space="0" w:color="auto"/>
        <w:right w:val="none" w:sz="0" w:space="0" w:color="auto"/>
      </w:divBdr>
      <w:divsChild>
        <w:div w:id="1512842674">
          <w:marLeft w:val="0"/>
          <w:marRight w:val="0"/>
          <w:marTop w:val="0"/>
          <w:marBottom w:val="0"/>
          <w:divBdr>
            <w:top w:val="none" w:sz="0" w:space="0" w:color="auto"/>
            <w:left w:val="none" w:sz="0" w:space="0" w:color="auto"/>
            <w:bottom w:val="none" w:sz="0" w:space="0" w:color="auto"/>
            <w:right w:val="none" w:sz="0" w:space="0" w:color="auto"/>
          </w:divBdr>
        </w:div>
        <w:div w:id="652753981">
          <w:marLeft w:val="0"/>
          <w:marRight w:val="0"/>
          <w:marTop w:val="0"/>
          <w:marBottom w:val="0"/>
          <w:divBdr>
            <w:top w:val="none" w:sz="0" w:space="0" w:color="auto"/>
            <w:left w:val="none" w:sz="0" w:space="0" w:color="auto"/>
            <w:bottom w:val="none" w:sz="0" w:space="0" w:color="auto"/>
            <w:right w:val="none" w:sz="0" w:space="0" w:color="auto"/>
          </w:divBdr>
        </w:div>
        <w:div w:id="352077087">
          <w:marLeft w:val="0"/>
          <w:marRight w:val="0"/>
          <w:marTop w:val="120"/>
          <w:marBottom w:val="0"/>
          <w:divBdr>
            <w:top w:val="none" w:sz="0" w:space="0" w:color="auto"/>
            <w:left w:val="none" w:sz="0" w:space="0" w:color="auto"/>
            <w:bottom w:val="none" w:sz="0" w:space="0" w:color="auto"/>
            <w:right w:val="none" w:sz="0" w:space="0" w:color="auto"/>
          </w:divBdr>
        </w:div>
        <w:div w:id="686172409">
          <w:marLeft w:val="0"/>
          <w:marRight w:val="0"/>
          <w:marTop w:val="0"/>
          <w:marBottom w:val="0"/>
          <w:divBdr>
            <w:top w:val="none" w:sz="0" w:space="0" w:color="auto"/>
            <w:left w:val="none" w:sz="0" w:space="0" w:color="auto"/>
            <w:bottom w:val="none" w:sz="0" w:space="0" w:color="auto"/>
            <w:right w:val="none" w:sz="0" w:space="0" w:color="auto"/>
          </w:divBdr>
          <w:divsChild>
            <w:div w:id="1326862586">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2115396543">
          <w:marLeft w:val="0"/>
          <w:marRight w:val="0"/>
          <w:marTop w:val="0"/>
          <w:marBottom w:val="0"/>
          <w:divBdr>
            <w:top w:val="none" w:sz="0" w:space="0" w:color="auto"/>
            <w:left w:val="none" w:sz="0" w:space="0" w:color="auto"/>
            <w:bottom w:val="none" w:sz="0" w:space="0" w:color="auto"/>
            <w:right w:val="none" w:sz="0" w:space="0" w:color="auto"/>
          </w:divBdr>
        </w:div>
        <w:div w:id="1010520874">
          <w:marLeft w:val="0"/>
          <w:marRight w:val="0"/>
          <w:marTop w:val="0"/>
          <w:marBottom w:val="0"/>
          <w:divBdr>
            <w:top w:val="none" w:sz="0" w:space="0" w:color="auto"/>
            <w:left w:val="none" w:sz="0" w:space="0" w:color="auto"/>
            <w:bottom w:val="none" w:sz="0" w:space="0" w:color="auto"/>
            <w:right w:val="none" w:sz="0" w:space="0" w:color="auto"/>
          </w:divBdr>
        </w:div>
        <w:div w:id="549804852">
          <w:marLeft w:val="0"/>
          <w:marRight w:val="0"/>
          <w:marTop w:val="0"/>
          <w:marBottom w:val="0"/>
          <w:divBdr>
            <w:top w:val="none" w:sz="0" w:space="0" w:color="auto"/>
            <w:left w:val="none" w:sz="0" w:space="0" w:color="auto"/>
            <w:bottom w:val="none" w:sz="0" w:space="0" w:color="auto"/>
            <w:right w:val="none" w:sz="0" w:space="0" w:color="auto"/>
          </w:divBdr>
        </w:div>
        <w:div w:id="1967082063">
          <w:marLeft w:val="0"/>
          <w:marRight w:val="0"/>
          <w:marTop w:val="0"/>
          <w:marBottom w:val="0"/>
          <w:divBdr>
            <w:top w:val="none" w:sz="0" w:space="0" w:color="auto"/>
            <w:left w:val="none" w:sz="0" w:space="0" w:color="auto"/>
            <w:bottom w:val="none" w:sz="0" w:space="0" w:color="auto"/>
            <w:right w:val="none" w:sz="0" w:space="0" w:color="auto"/>
          </w:divBdr>
        </w:div>
        <w:div w:id="2103722081">
          <w:marLeft w:val="0"/>
          <w:marRight w:val="0"/>
          <w:marTop w:val="0"/>
          <w:marBottom w:val="0"/>
          <w:divBdr>
            <w:top w:val="none" w:sz="0" w:space="0" w:color="auto"/>
            <w:left w:val="none" w:sz="0" w:space="0" w:color="auto"/>
            <w:bottom w:val="none" w:sz="0" w:space="0" w:color="auto"/>
            <w:right w:val="none" w:sz="0" w:space="0" w:color="auto"/>
          </w:divBdr>
          <w:divsChild>
            <w:div w:id="2145345703">
              <w:marLeft w:val="0"/>
              <w:marRight w:val="0"/>
              <w:marTop w:val="0"/>
              <w:marBottom w:val="0"/>
              <w:divBdr>
                <w:top w:val="none" w:sz="0" w:space="0" w:color="auto"/>
                <w:left w:val="none" w:sz="0" w:space="0" w:color="auto"/>
                <w:bottom w:val="none" w:sz="0" w:space="0" w:color="auto"/>
                <w:right w:val="none" w:sz="0" w:space="0" w:color="auto"/>
              </w:divBdr>
            </w:div>
          </w:divsChild>
        </w:div>
        <w:div w:id="1770197853">
          <w:marLeft w:val="0"/>
          <w:marRight w:val="0"/>
          <w:marTop w:val="0"/>
          <w:marBottom w:val="0"/>
          <w:divBdr>
            <w:top w:val="none" w:sz="0" w:space="0" w:color="auto"/>
            <w:left w:val="none" w:sz="0" w:space="0" w:color="auto"/>
            <w:bottom w:val="none" w:sz="0" w:space="0" w:color="auto"/>
            <w:right w:val="none" w:sz="0" w:space="0" w:color="auto"/>
          </w:divBdr>
        </w:div>
        <w:div w:id="1407916939">
          <w:marLeft w:val="0"/>
          <w:marRight w:val="0"/>
          <w:marTop w:val="0"/>
          <w:marBottom w:val="0"/>
          <w:divBdr>
            <w:top w:val="none" w:sz="0" w:space="0" w:color="auto"/>
            <w:left w:val="none" w:sz="0" w:space="0" w:color="auto"/>
            <w:bottom w:val="none" w:sz="0" w:space="0" w:color="auto"/>
            <w:right w:val="none" w:sz="0" w:space="0" w:color="auto"/>
          </w:divBdr>
        </w:div>
        <w:div w:id="872890621">
          <w:marLeft w:val="0"/>
          <w:marRight w:val="0"/>
          <w:marTop w:val="0"/>
          <w:marBottom w:val="0"/>
          <w:divBdr>
            <w:top w:val="none" w:sz="0" w:space="0" w:color="auto"/>
            <w:left w:val="none" w:sz="0" w:space="0" w:color="auto"/>
            <w:bottom w:val="none" w:sz="0" w:space="0" w:color="auto"/>
            <w:right w:val="none" w:sz="0" w:space="0" w:color="auto"/>
          </w:divBdr>
        </w:div>
        <w:div w:id="1360277525">
          <w:marLeft w:val="0"/>
          <w:marRight w:val="0"/>
          <w:marTop w:val="0"/>
          <w:marBottom w:val="0"/>
          <w:divBdr>
            <w:top w:val="none" w:sz="0" w:space="0" w:color="auto"/>
            <w:left w:val="none" w:sz="0" w:space="0" w:color="auto"/>
            <w:bottom w:val="none" w:sz="0" w:space="0" w:color="auto"/>
            <w:right w:val="none" w:sz="0" w:space="0" w:color="auto"/>
          </w:divBdr>
        </w:div>
        <w:div w:id="489366578">
          <w:marLeft w:val="0"/>
          <w:marRight w:val="0"/>
          <w:marTop w:val="0"/>
          <w:marBottom w:val="0"/>
          <w:divBdr>
            <w:top w:val="none" w:sz="0" w:space="0" w:color="auto"/>
            <w:left w:val="none" w:sz="0" w:space="0" w:color="auto"/>
            <w:bottom w:val="none" w:sz="0" w:space="0" w:color="auto"/>
            <w:right w:val="none" w:sz="0" w:space="0" w:color="auto"/>
          </w:divBdr>
        </w:div>
        <w:div w:id="633755523">
          <w:marLeft w:val="0"/>
          <w:marRight w:val="0"/>
          <w:marTop w:val="0"/>
          <w:marBottom w:val="0"/>
          <w:divBdr>
            <w:top w:val="none" w:sz="0" w:space="0" w:color="auto"/>
            <w:left w:val="none" w:sz="0" w:space="0" w:color="auto"/>
            <w:bottom w:val="none" w:sz="0" w:space="0" w:color="auto"/>
            <w:right w:val="none" w:sz="0" w:space="0" w:color="auto"/>
          </w:divBdr>
        </w:div>
        <w:div w:id="1769737408">
          <w:marLeft w:val="0"/>
          <w:marRight w:val="0"/>
          <w:marTop w:val="0"/>
          <w:marBottom w:val="0"/>
          <w:divBdr>
            <w:top w:val="none" w:sz="0" w:space="0" w:color="auto"/>
            <w:left w:val="none" w:sz="0" w:space="0" w:color="auto"/>
            <w:bottom w:val="none" w:sz="0" w:space="0" w:color="auto"/>
            <w:right w:val="none" w:sz="0" w:space="0" w:color="auto"/>
          </w:divBdr>
        </w:div>
        <w:div w:id="867111181">
          <w:marLeft w:val="0"/>
          <w:marRight w:val="0"/>
          <w:marTop w:val="120"/>
          <w:marBottom w:val="0"/>
          <w:divBdr>
            <w:top w:val="none" w:sz="0" w:space="0" w:color="auto"/>
            <w:left w:val="none" w:sz="0" w:space="0" w:color="auto"/>
            <w:bottom w:val="none" w:sz="0" w:space="0" w:color="auto"/>
            <w:right w:val="none" w:sz="0" w:space="0" w:color="auto"/>
          </w:divBdr>
        </w:div>
        <w:div w:id="620722689">
          <w:marLeft w:val="0"/>
          <w:marRight w:val="0"/>
          <w:marTop w:val="0"/>
          <w:marBottom w:val="0"/>
          <w:divBdr>
            <w:top w:val="none" w:sz="0" w:space="0" w:color="auto"/>
            <w:left w:val="none" w:sz="0" w:space="0" w:color="auto"/>
            <w:bottom w:val="none" w:sz="0" w:space="0" w:color="auto"/>
            <w:right w:val="none" w:sz="0" w:space="0" w:color="auto"/>
          </w:divBdr>
        </w:div>
        <w:div w:id="726416097">
          <w:marLeft w:val="0"/>
          <w:marRight w:val="0"/>
          <w:marTop w:val="0"/>
          <w:marBottom w:val="0"/>
          <w:divBdr>
            <w:top w:val="none" w:sz="0" w:space="0" w:color="auto"/>
            <w:left w:val="none" w:sz="0" w:space="0" w:color="auto"/>
            <w:bottom w:val="none" w:sz="0" w:space="0" w:color="auto"/>
            <w:right w:val="none" w:sz="0" w:space="0" w:color="auto"/>
          </w:divBdr>
        </w:div>
        <w:div w:id="1570727780">
          <w:marLeft w:val="0"/>
          <w:marRight w:val="0"/>
          <w:marTop w:val="0"/>
          <w:marBottom w:val="0"/>
          <w:divBdr>
            <w:top w:val="none" w:sz="0" w:space="0" w:color="auto"/>
            <w:left w:val="none" w:sz="0" w:space="0" w:color="auto"/>
            <w:bottom w:val="none" w:sz="0" w:space="0" w:color="auto"/>
            <w:right w:val="none" w:sz="0" w:space="0" w:color="auto"/>
          </w:divBdr>
        </w:div>
        <w:div w:id="71241602">
          <w:marLeft w:val="0"/>
          <w:marRight w:val="0"/>
          <w:marTop w:val="0"/>
          <w:marBottom w:val="0"/>
          <w:divBdr>
            <w:top w:val="none" w:sz="0" w:space="0" w:color="auto"/>
            <w:left w:val="none" w:sz="0" w:space="0" w:color="auto"/>
            <w:bottom w:val="none" w:sz="0" w:space="0" w:color="auto"/>
            <w:right w:val="none" w:sz="0" w:space="0" w:color="auto"/>
          </w:divBdr>
        </w:div>
        <w:div w:id="163060285">
          <w:marLeft w:val="0"/>
          <w:marRight w:val="0"/>
          <w:marTop w:val="0"/>
          <w:marBottom w:val="0"/>
          <w:divBdr>
            <w:top w:val="none" w:sz="0" w:space="0" w:color="auto"/>
            <w:left w:val="none" w:sz="0" w:space="0" w:color="auto"/>
            <w:bottom w:val="none" w:sz="0" w:space="0" w:color="auto"/>
            <w:right w:val="none" w:sz="0" w:space="0" w:color="auto"/>
          </w:divBdr>
        </w:div>
        <w:div w:id="619845381">
          <w:marLeft w:val="0"/>
          <w:marRight w:val="0"/>
          <w:marTop w:val="0"/>
          <w:marBottom w:val="0"/>
          <w:divBdr>
            <w:top w:val="none" w:sz="0" w:space="0" w:color="auto"/>
            <w:left w:val="none" w:sz="0" w:space="0" w:color="auto"/>
            <w:bottom w:val="none" w:sz="0" w:space="0" w:color="auto"/>
            <w:right w:val="none" w:sz="0" w:space="0" w:color="auto"/>
          </w:divBdr>
        </w:div>
        <w:div w:id="415325028">
          <w:marLeft w:val="0"/>
          <w:marRight w:val="0"/>
          <w:marTop w:val="0"/>
          <w:marBottom w:val="0"/>
          <w:divBdr>
            <w:top w:val="none" w:sz="0" w:space="0" w:color="auto"/>
            <w:left w:val="none" w:sz="0" w:space="0" w:color="auto"/>
            <w:bottom w:val="none" w:sz="0" w:space="0" w:color="auto"/>
            <w:right w:val="none" w:sz="0" w:space="0" w:color="auto"/>
          </w:divBdr>
        </w:div>
        <w:div w:id="1004864907">
          <w:marLeft w:val="0"/>
          <w:marRight w:val="0"/>
          <w:marTop w:val="120"/>
          <w:marBottom w:val="0"/>
          <w:divBdr>
            <w:top w:val="none" w:sz="0" w:space="0" w:color="auto"/>
            <w:left w:val="none" w:sz="0" w:space="0" w:color="auto"/>
            <w:bottom w:val="none" w:sz="0" w:space="0" w:color="auto"/>
            <w:right w:val="none" w:sz="0" w:space="0" w:color="auto"/>
          </w:divBdr>
        </w:div>
        <w:div w:id="473181335">
          <w:marLeft w:val="0"/>
          <w:marRight w:val="0"/>
          <w:marTop w:val="0"/>
          <w:marBottom w:val="0"/>
          <w:divBdr>
            <w:top w:val="none" w:sz="0" w:space="0" w:color="auto"/>
            <w:left w:val="none" w:sz="0" w:space="0" w:color="auto"/>
            <w:bottom w:val="none" w:sz="0" w:space="0" w:color="auto"/>
            <w:right w:val="none" w:sz="0" w:space="0" w:color="auto"/>
          </w:divBdr>
        </w:div>
        <w:div w:id="905338433">
          <w:marLeft w:val="0"/>
          <w:marRight w:val="0"/>
          <w:marTop w:val="0"/>
          <w:marBottom w:val="0"/>
          <w:divBdr>
            <w:top w:val="none" w:sz="0" w:space="0" w:color="auto"/>
            <w:left w:val="none" w:sz="0" w:space="0" w:color="auto"/>
            <w:bottom w:val="none" w:sz="0" w:space="0" w:color="auto"/>
            <w:right w:val="none" w:sz="0" w:space="0" w:color="auto"/>
          </w:divBdr>
        </w:div>
        <w:div w:id="58797473">
          <w:marLeft w:val="0"/>
          <w:marRight w:val="0"/>
          <w:marTop w:val="0"/>
          <w:marBottom w:val="0"/>
          <w:divBdr>
            <w:top w:val="none" w:sz="0" w:space="0" w:color="auto"/>
            <w:left w:val="none" w:sz="0" w:space="0" w:color="auto"/>
            <w:bottom w:val="none" w:sz="0" w:space="0" w:color="auto"/>
            <w:right w:val="none" w:sz="0" w:space="0" w:color="auto"/>
          </w:divBdr>
        </w:div>
        <w:div w:id="175921857">
          <w:marLeft w:val="0"/>
          <w:marRight w:val="0"/>
          <w:marTop w:val="0"/>
          <w:marBottom w:val="0"/>
          <w:divBdr>
            <w:top w:val="none" w:sz="0" w:space="0" w:color="auto"/>
            <w:left w:val="none" w:sz="0" w:space="0" w:color="auto"/>
            <w:bottom w:val="none" w:sz="0" w:space="0" w:color="auto"/>
            <w:right w:val="none" w:sz="0" w:space="0" w:color="auto"/>
          </w:divBdr>
        </w:div>
        <w:div w:id="997881583">
          <w:marLeft w:val="0"/>
          <w:marRight w:val="0"/>
          <w:marTop w:val="0"/>
          <w:marBottom w:val="0"/>
          <w:divBdr>
            <w:top w:val="none" w:sz="0" w:space="0" w:color="auto"/>
            <w:left w:val="none" w:sz="0" w:space="0" w:color="auto"/>
            <w:bottom w:val="none" w:sz="0" w:space="0" w:color="auto"/>
            <w:right w:val="none" w:sz="0" w:space="0" w:color="auto"/>
          </w:divBdr>
        </w:div>
        <w:div w:id="1273901748">
          <w:marLeft w:val="0"/>
          <w:marRight w:val="0"/>
          <w:marTop w:val="0"/>
          <w:marBottom w:val="0"/>
          <w:divBdr>
            <w:top w:val="none" w:sz="0" w:space="0" w:color="auto"/>
            <w:left w:val="none" w:sz="0" w:space="0" w:color="auto"/>
            <w:bottom w:val="none" w:sz="0" w:space="0" w:color="auto"/>
            <w:right w:val="none" w:sz="0" w:space="0" w:color="auto"/>
          </w:divBdr>
        </w:div>
        <w:div w:id="1232077950">
          <w:marLeft w:val="0"/>
          <w:marRight w:val="0"/>
          <w:marTop w:val="0"/>
          <w:marBottom w:val="0"/>
          <w:divBdr>
            <w:top w:val="none" w:sz="0" w:space="0" w:color="auto"/>
            <w:left w:val="none" w:sz="0" w:space="0" w:color="auto"/>
            <w:bottom w:val="none" w:sz="0" w:space="0" w:color="auto"/>
            <w:right w:val="none" w:sz="0" w:space="0" w:color="auto"/>
          </w:divBdr>
        </w:div>
        <w:div w:id="1772118055">
          <w:marLeft w:val="0"/>
          <w:marRight w:val="0"/>
          <w:marTop w:val="0"/>
          <w:marBottom w:val="0"/>
          <w:divBdr>
            <w:top w:val="none" w:sz="0" w:space="0" w:color="auto"/>
            <w:left w:val="none" w:sz="0" w:space="0" w:color="auto"/>
            <w:bottom w:val="none" w:sz="0" w:space="0" w:color="auto"/>
            <w:right w:val="none" w:sz="0" w:space="0" w:color="auto"/>
          </w:divBdr>
        </w:div>
        <w:div w:id="1260137696">
          <w:marLeft w:val="0"/>
          <w:marRight w:val="0"/>
          <w:marTop w:val="0"/>
          <w:marBottom w:val="0"/>
          <w:divBdr>
            <w:top w:val="none" w:sz="0" w:space="0" w:color="auto"/>
            <w:left w:val="none" w:sz="0" w:space="0" w:color="auto"/>
            <w:bottom w:val="none" w:sz="0" w:space="0" w:color="auto"/>
            <w:right w:val="none" w:sz="0" w:space="0" w:color="auto"/>
          </w:divBdr>
        </w:div>
        <w:div w:id="636452514">
          <w:marLeft w:val="0"/>
          <w:marRight w:val="0"/>
          <w:marTop w:val="120"/>
          <w:marBottom w:val="0"/>
          <w:divBdr>
            <w:top w:val="none" w:sz="0" w:space="0" w:color="auto"/>
            <w:left w:val="none" w:sz="0" w:space="0" w:color="auto"/>
            <w:bottom w:val="none" w:sz="0" w:space="0" w:color="auto"/>
            <w:right w:val="none" w:sz="0" w:space="0" w:color="auto"/>
          </w:divBdr>
        </w:div>
        <w:div w:id="1757097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noi-dung-tham-chieu.html?DocItemId=699721" TargetMode="External"/><Relationship Id="rId13" Type="http://schemas.openxmlformats.org/officeDocument/2006/relationships/hyperlink" Target="https://luatvietnam.vn/noi-dung-tham-chieu.html?DocItemId=699798" TargetMode="External"/><Relationship Id="rId18" Type="http://schemas.openxmlformats.org/officeDocument/2006/relationships/hyperlink" Target="https://luatvietnam.vn/noi-dung-tham-chieu.html?DocItemId=699717" TargetMode="External"/><Relationship Id="rId26" Type="http://schemas.openxmlformats.org/officeDocument/2006/relationships/hyperlink" Target="https://luatvietnam.vn/noi-dung-tham-chieu.html?DocItemId=699772" TargetMode="External"/><Relationship Id="rId3" Type="http://schemas.openxmlformats.org/officeDocument/2006/relationships/settings" Target="settings.xml"/><Relationship Id="rId21" Type="http://schemas.openxmlformats.org/officeDocument/2006/relationships/hyperlink" Target="https://luatvietnam.vn/noi-dung-tham-chieu.html?DocItemId=699753" TargetMode="External"/><Relationship Id="rId7" Type="http://schemas.openxmlformats.org/officeDocument/2006/relationships/hyperlink" Target="https://luatvietnam.vn/noi-dung-tham-chieu.html?DocItemId=699719" TargetMode="External"/><Relationship Id="rId12" Type="http://schemas.openxmlformats.org/officeDocument/2006/relationships/hyperlink" Target="https://luatvietnam.vn/noi-dung-tham-chieu.html?DocItemId=699787" TargetMode="External"/><Relationship Id="rId17" Type="http://schemas.openxmlformats.org/officeDocument/2006/relationships/hyperlink" Target="https://luatvietnam.vn/noi-dung-tham-chieu.html?DocItemId=699716" TargetMode="External"/><Relationship Id="rId25" Type="http://schemas.openxmlformats.org/officeDocument/2006/relationships/hyperlink" Target="https://luatvietnam.vn/noi-dung-tham-chieu.html?DocItemId=699768" TargetMode="External"/><Relationship Id="rId2" Type="http://schemas.microsoft.com/office/2007/relationships/stylesWithEffects" Target="stylesWithEffects.xml"/><Relationship Id="rId16" Type="http://schemas.openxmlformats.org/officeDocument/2006/relationships/hyperlink" Target="https://luatvietnam.vn/noi-dung-tham-chieu.html?DocItemId=699820" TargetMode="External"/><Relationship Id="rId20" Type="http://schemas.openxmlformats.org/officeDocument/2006/relationships/hyperlink" Target="https://luatvietnam.vn/noi-dung-tham-chieu.html?DocItemId=1418752"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uatvietnam.vn/noi-dung-tham-chieu.html?DocItemId=699782" TargetMode="External"/><Relationship Id="rId24" Type="http://schemas.openxmlformats.org/officeDocument/2006/relationships/hyperlink" Target="https://luatvietnam.vn/noi-dung-tham-chieu.html?DocItemId=699764" TargetMode="External"/><Relationship Id="rId5" Type="http://schemas.openxmlformats.org/officeDocument/2006/relationships/footnotes" Target="footnotes.xml"/><Relationship Id="rId15" Type="http://schemas.openxmlformats.org/officeDocument/2006/relationships/hyperlink" Target="https://luatvietnam.vn/noi-dung-tham-chieu.html?DocItemId=699804" TargetMode="External"/><Relationship Id="rId23" Type="http://schemas.openxmlformats.org/officeDocument/2006/relationships/hyperlink" Target="https://luatvietnam.vn/noi-dung-tham-chieu.html?DocItemId=699761" TargetMode="External"/><Relationship Id="rId28" Type="http://schemas.openxmlformats.org/officeDocument/2006/relationships/footer" Target="footer1.xml"/><Relationship Id="rId10" Type="http://schemas.openxmlformats.org/officeDocument/2006/relationships/hyperlink" Target="https://luatvietnam.vn/noi-dung-tham-chieu.html?DocItemId=699743" TargetMode="External"/><Relationship Id="rId19" Type="http://schemas.openxmlformats.org/officeDocument/2006/relationships/hyperlink" Target="https://luatvietnam.vn/noi-dung-tham-chieu.html?DocItemId=699738" TargetMode="External"/><Relationship Id="rId4" Type="http://schemas.openxmlformats.org/officeDocument/2006/relationships/webSettings" Target="webSettings.xml"/><Relationship Id="rId9" Type="http://schemas.openxmlformats.org/officeDocument/2006/relationships/hyperlink" Target="https://luatvietnam.vn/noi-dung-tham-chieu.html?DocItemId=699729" TargetMode="External"/><Relationship Id="rId14" Type="http://schemas.openxmlformats.org/officeDocument/2006/relationships/hyperlink" Target="https://luatvietnam.vn/noi-dung-tham-chieu.html?DocItemId=699803" TargetMode="External"/><Relationship Id="rId22" Type="http://schemas.openxmlformats.org/officeDocument/2006/relationships/hyperlink" Target="https://luatvietnam.vn/noi-dung-tham-chieu.html?DocItemId=699754" TargetMode="External"/><Relationship Id="rId27" Type="http://schemas.openxmlformats.org/officeDocument/2006/relationships/hyperlink" Target="https://luatvietnam.vn/noi-dung-tham-chieu.html?DocItemId=69977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2154</Words>
  <Characters>12283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THCS BH</dc:creator>
  <cp:lastModifiedBy>THCS BH</cp:lastModifiedBy>
  <cp:revision>4</cp:revision>
  <dcterms:created xsi:type="dcterms:W3CDTF">2020-09-10T08:12:00Z</dcterms:created>
  <dcterms:modified xsi:type="dcterms:W3CDTF">2020-09-14T04:00:00Z</dcterms:modified>
</cp:coreProperties>
</file>