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6E" w:rsidRPr="00E07E54" w:rsidRDefault="00F7086E" w:rsidP="00F70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9: 30/3/2020-3/4</w:t>
      </w:r>
      <w:r>
        <w:rPr>
          <w:rFonts w:ascii="Times New Roman" w:hAnsi="Times New Roman" w:cs="Times New Roman"/>
          <w:b/>
          <w:sz w:val="28"/>
          <w:szCs w:val="28"/>
        </w:rPr>
        <w:t>/2020</w:t>
      </w:r>
      <w:bookmarkStart w:id="0" w:name="_GoBack"/>
      <w:bookmarkEnd w:id="0"/>
    </w:p>
    <w:p w:rsidR="00F7086E" w:rsidRDefault="00F7086E" w:rsidP="00F708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Bài 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 w:rsidRPr="0080128C">
        <w:rPr>
          <w:rFonts w:ascii="Times New Roman" w:hAnsi="Times New Roman" w:cs="Times New Roman"/>
          <w:b/>
          <w:sz w:val="40"/>
          <w:szCs w:val="40"/>
        </w:rPr>
        <w:t xml:space="preserve">TRƯỜNG HỢP ĐỒNG DẠNG THỨ </w:t>
      </w:r>
      <w:r>
        <w:rPr>
          <w:rFonts w:ascii="Times New Roman" w:hAnsi="Times New Roman" w:cs="Times New Roman"/>
          <w:b/>
          <w:sz w:val="40"/>
          <w:szCs w:val="40"/>
        </w:rPr>
        <w:t>BA</w:t>
      </w:r>
      <w:r w:rsidRPr="0080128C">
        <w:rPr>
          <w:rFonts w:ascii="Times New Roman" w:hAnsi="Times New Roman" w:cs="Times New Roman"/>
          <w:b/>
          <w:sz w:val="40"/>
          <w:szCs w:val="40"/>
        </w:rPr>
        <w:t xml:space="preserve"> CỦA HAI TAM GIÁC</w:t>
      </w:r>
    </w:p>
    <w:p w:rsid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</w:p>
    <w:p w:rsidR="00F7086E" w:rsidRPr="00F7086E" w:rsidRDefault="00F7086E" w:rsidP="00F7086E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Định lí</w:t>
      </w:r>
    </w:p>
    <w:p w:rsidR="00F7086E" w:rsidRPr="00F7086E" w:rsidRDefault="00F7086E" w:rsidP="00F7086E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86E">
        <w:rPr>
          <w:rFonts w:ascii="Times New Roman" w:eastAsia="Times New Roman" w:hAnsi="Times New Roman" w:cs="Times New Roman"/>
          <w:color w:val="000000"/>
          <w:sz w:val="28"/>
          <w:szCs w:val="28"/>
        </w:rPr>
        <w:t>Nếu hai góc của tam giác này lần lượt bằng hai góc của tam giác kia thì hai tam giác đó đồng dạng</w:t>
      </w:r>
    </w:p>
    <w:p w:rsidR="00F7086E" w:rsidRDefault="00F7086E" w:rsidP="00F7086E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8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9E744B" wp14:editId="12E01DB7">
            <wp:extent cx="4314825" cy="2257425"/>
            <wp:effectExtent l="0" t="0" r="9525" b="9525"/>
            <wp:docPr id="1" name="Picture 1" descr="https://img.loigiaihay.com/picture/2018/0718/lt-b7-trang-77-sgk-toan-8-t2-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18/0718/lt-b7-trang-77-sgk-toan-8-t2-c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86E" w:rsidRPr="00F7086E" w:rsidRDefault="00F7086E" w:rsidP="00F7086E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Đề bài</w:t>
      </w:r>
    </w:p>
    <w:p w:rsidR="00F7086E" w:rsidRPr="00F7086E" w:rsidRDefault="00F7086E" w:rsidP="00F7086E">
      <w:pPr>
        <w:spacing w:after="18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1"/>
          <w:szCs w:val="21"/>
        </w:rPr>
        <w:t>Trong các tam giác dưới đây, những cặp tam giác nào đồng dạng với nhau ? Hãy giải thích (h.41)</w:t>
      </w:r>
    </w:p>
    <w:p w:rsidR="00F7086E" w:rsidRPr="00F7086E" w:rsidRDefault="00F7086E" w:rsidP="00F7086E">
      <w:pPr>
        <w:spacing w:after="18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noProof/>
          <w:color w:val="000000"/>
          <w:sz w:val="21"/>
          <w:szCs w:val="21"/>
        </w:rPr>
        <w:lastRenderedPageBreak/>
        <w:drawing>
          <wp:inline distT="0" distB="0" distL="0" distR="0" wp14:anchorId="1139FDF1" wp14:editId="78CFBCA5">
            <wp:extent cx="6229350" cy="3781425"/>
            <wp:effectExtent l="0" t="0" r="0" b="9525"/>
            <wp:docPr id="2" name="Picture 2" descr="https://img.loigiaihay.com/picture/2019/0314/h14-cau-hoi-1-trang-78-sgk-toan-8-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19/0314/h14-cau-hoi-1-trang-78-sgk-toan-8-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Áp dụng định lí</w:t>
      </w:r>
    </w:p>
    <w:p w:rsidR="00F7086E" w:rsidRPr="00F7086E" w:rsidRDefault="00F7086E" w:rsidP="00F7086E">
      <w:pPr>
        <w:spacing w:after="18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1"/>
          <w:szCs w:val="21"/>
        </w:rPr>
        <w:t>Nếu hai góc của tam giác này lần lượt bằng hai góc của tam giác kia thì hai tam giác đó đồng dạng</w:t>
      </w:r>
    </w:p>
    <w:p w:rsidR="00F7086E" w:rsidRPr="00F7086E" w:rsidRDefault="00F7086E" w:rsidP="00F7086E">
      <w:pPr>
        <w:pStyle w:val="NormalWeb"/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F7086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Lời giải chi tiết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ΔABC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có 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=180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−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B^+C^=180o−A^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=140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0</w:t>
      </w: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=1400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1"/>
          <w:szCs w:val="21"/>
        </w:rPr>
        <w:t>Mà 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Δ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ABC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cân tại 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 </w:t>
      </w:r>
    </w:p>
    <w:p w:rsidR="00F7086E" w:rsidRDefault="00F7086E" w:rsidP="00F7086E">
      <w:pPr>
        <w:spacing w:after="0" w:line="330" w:lineRule="atLeast"/>
        <w:jc w:val="both"/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</w:pP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=140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0</w:t>
      </w:r>
      <w:r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/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2=70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ΔMNP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cân tại 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P</w:t>
      </w: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M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N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=70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ΔABC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và </w:t>
      </w: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ΔPMN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có</w:t>
      </w:r>
    </w:p>
    <w:p w:rsidR="00F7086E" w:rsidRDefault="00F7086E" w:rsidP="00F7086E">
      <w:pPr>
        <w:spacing w:after="0" w:line="330" w:lineRule="atLeast"/>
        <w:jc w:val="both"/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</w:pP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M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=70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Default="00F7086E" w:rsidP="00F7086E">
      <w:pPr>
        <w:spacing w:after="0" w:line="330" w:lineRule="atLeast"/>
        <w:jc w:val="both"/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</w:pPr>
      <w:r w:rsidRPr="00F7086E">
        <w:rPr>
          <w:rFonts w:ascii="MJXc-TeX-size1-Rw" w:eastAsia="Times New Roman" w:hAnsi="MJXc-TeX-size1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N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=70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</w:pP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Δ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ABC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 </w:t>
      </w:r>
      <w:r w:rsidRPr="00F7086E">
        <w:rPr>
          <w:rFonts w:ascii="Cambria Math" w:eastAsia="Times New Roman" w:hAnsi="Cambria Math" w:cs="Tahoma"/>
          <w:color w:val="000000"/>
          <w:sz w:val="25"/>
          <w:szCs w:val="25"/>
          <w:bdr w:val="none" w:sz="0" w:space="0" w:color="auto" w:frame="1"/>
        </w:rPr>
        <w:t>đồ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ng</w:t>
      </w:r>
      <w:r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 xml:space="preserve"> 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d</w:t>
      </w:r>
      <w:r w:rsidRPr="00F7086E">
        <w:rPr>
          <w:rFonts w:ascii="Cambria Math" w:eastAsia="Times New Roman" w:hAnsi="Cambria Math" w:cs="Tahoma"/>
          <w:color w:val="000000"/>
          <w:sz w:val="25"/>
          <w:szCs w:val="25"/>
          <w:bdr w:val="none" w:sz="0" w:space="0" w:color="auto" w:frame="1"/>
        </w:rPr>
        <w:t>ạ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ng Δ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PMN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(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g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.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g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)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Δ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có 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=180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=180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−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(ˆ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)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=180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−(70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+60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)=50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ΔA′B′C′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và </w:t>
      </w:r>
      <w:r w:rsidRPr="00F7086E">
        <w:rPr>
          <w:rFonts w:ascii="Tahoma" w:eastAsia="Times New Roman" w:hAnsi="Tahoma" w:cs="Tahoma"/>
          <w:color w:val="000000"/>
          <w:sz w:val="25"/>
          <w:szCs w:val="25"/>
          <w:bdr w:val="none" w:sz="0" w:space="0" w:color="auto" w:frame="1"/>
        </w:rPr>
        <w:t>ΔD′E′F′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có</w:t>
      </w:r>
    </w:p>
    <w:p w:rsidR="00F7086E" w:rsidRDefault="00F7086E" w:rsidP="00F7086E">
      <w:pPr>
        <w:spacing w:after="0" w:line="330" w:lineRule="atLeast"/>
        <w:jc w:val="both"/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</w:pP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E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=60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Default="00F7086E" w:rsidP="00F7086E">
      <w:pPr>
        <w:spacing w:after="0" w:line="330" w:lineRule="atLeast"/>
        <w:jc w:val="both"/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</w:pP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</w:t>
      </w:r>
      <w:r w:rsidRPr="00F7086E">
        <w:rPr>
          <w:rFonts w:ascii="MJXc-TeX-size2-Rw" w:eastAsia="Times New Roman" w:hAnsi="MJXc-TeX-size2-Rw" w:cs="Tahoma"/>
          <w:color w:val="000000"/>
          <w:sz w:val="25"/>
          <w:szCs w:val="25"/>
          <w:bdr w:val="none" w:sz="0" w:space="0" w:color="auto" w:frame="1"/>
        </w:rPr>
        <w:t>ˆ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F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=50</w:t>
      </w:r>
      <w:r w:rsidRPr="00F7086E">
        <w:rPr>
          <w:rFonts w:ascii="MJXc-TeX-math-Iw" w:eastAsia="Times New Roman" w:hAnsi="MJXc-TeX-math-Iw" w:cs="Tahoma"/>
          <w:color w:val="000000"/>
          <w:sz w:val="18"/>
          <w:szCs w:val="18"/>
          <w:bdr w:val="none" w:sz="0" w:space="0" w:color="auto" w:frame="1"/>
        </w:rPr>
        <w:t>o</w:t>
      </w:r>
    </w:p>
    <w:p w:rsidR="00F7086E" w:rsidRPr="00F7086E" w:rsidRDefault="00F7086E" w:rsidP="00F7086E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F7086E">
        <w:rPr>
          <w:rFonts w:ascii="Cambria Math" w:eastAsia="Times New Roman" w:hAnsi="Cambria Math" w:cs="Cambria Math"/>
          <w:color w:val="000000"/>
          <w:sz w:val="25"/>
          <w:szCs w:val="25"/>
          <w:bdr w:val="none" w:sz="0" w:space="0" w:color="auto" w:frame="1"/>
        </w:rPr>
        <w:t>⇒</w:t>
      </w:r>
      <w:r w:rsidRPr="00F7086E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</w:rPr>
        <w:t>Δ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A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B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C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 </w:t>
      </w:r>
      <w:r w:rsidRPr="00F7086E">
        <w:rPr>
          <w:rFonts w:ascii="Cambria Math" w:eastAsia="Times New Roman" w:hAnsi="Cambria Math" w:cs="Tahoma"/>
          <w:color w:val="000000"/>
          <w:sz w:val="25"/>
          <w:szCs w:val="25"/>
          <w:bdr w:val="none" w:sz="0" w:space="0" w:color="auto" w:frame="1"/>
        </w:rPr>
        <w:t>đồ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ng d</w:t>
      </w:r>
      <w:r w:rsidRPr="00F7086E">
        <w:rPr>
          <w:rFonts w:ascii="Cambria Math" w:eastAsia="Times New Roman" w:hAnsi="Cambria Math" w:cs="Tahoma"/>
          <w:color w:val="000000"/>
          <w:sz w:val="25"/>
          <w:szCs w:val="25"/>
          <w:bdr w:val="none" w:sz="0" w:space="0" w:color="auto" w:frame="1"/>
        </w:rPr>
        <w:t>ạ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ng Δ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D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E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F</w:t>
      </w:r>
      <w:r w:rsidRPr="00F7086E">
        <w:rPr>
          <w:rFonts w:ascii="MJXc-TeX-main-Rw" w:eastAsia="Times New Roman" w:hAnsi="MJXc-TeX-main-Rw" w:cs="Tahoma"/>
          <w:color w:val="000000"/>
          <w:sz w:val="18"/>
          <w:szCs w:val="18"/>
          <w:bdr w:val="none" w:sz="0" w:space="0" w:color="auto" w:frame="1"/>
        </w:rPr>
        <w:t>′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(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g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.</w:t>
      </w:r>
      <w:r w:rsidRPr="00F7086E">
        <w:rPr>
          <w:rFonts w:ascii="MJXc-TeX-math-Iw" w:eastAsia="Times New Roman" w:hAnsi="MJXc-TeX-math-Iw" w:cs="Tahoma"/>
          <w:color w:val="000000"/>
          <w:sz w:val="25"/>
          <w:szCs w:val="25"/>
          <w:bdr w:val="none" w:sz="0" w:space="0" w:color="auto" w:frame="1"/>
        </w:rPr>
        <w:t>g</w:t>
      </w:r>
      <w:r w:rsidRPr="00F7086E">
        <w:rPr>
          <w:rFonts w:ascii="MJXc-TeX-main-Rw" w:eastAsia="Times New Roman" w:hAnsi="MJXc-TeX-main-Rw" w:cs="Tahoma"/>
          <w:color w:val="000000"/>
          <w:sz w:val="25"/>
          <w:szCs w:val="25"/>
          <w:bdr w:val="none" w:sz="0" w:space="0" w:color="auto" w:frame="1"/>
        </w:rPr>
        <w:t>)</w:t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C3389E" w:rsidRDefault="00F7086E" w:rsidP="00F7086E">
      <w:pPr>
        <w:spacing w:after="180" w:line="330" w:lineRule="atLeast"/>
        <w:jc w:val="both"/>
      </w:pPr>
      <w:r w:rsidRPr="00F7086E">
        <w:rPr>
          <w:rFonts w:ascii="Tahoma" w:eastAsia="Times New Roman" w:hAnsi="Tahoma" w:cs="Tahoma"/>
          <w:color w:val="000000"/>
          <w:sz w:val="21"/>
          <w:szCs w:val="21"/>
        </w:rPr>
        <w:lastRenderedPageBreak/>
        <w:br/>
      </w:r>
      <w:r w:rsidRPr="00F7086E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C3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0A" w:rsidRDefault="004F280A" w:rsidP="00F7086E">
      <w:pPr>
        <w:spacing w:after="0" w:line="240" w:lineRule="auto"/>
      </w:pPr>
      <w:r>
        <w:separator/>
      </w:r>
    </w:p>
  </w:endnote>
  <w:endnote w:type="continuationSeparator" w:id="0">
    <w:p w:rsidR="004F280A" w:rsidRDefault="004F280A" w:rsidP="00F7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JXc-TeX-size1-Rw">
    <w:altName w:val="Times New Roman"/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size2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0A" w:rsidRDefault="004F280A" w:rsidP="00F7086E">
      <w:pPr>
        <w:spacing w:after="0" w:line="240" w:lineRule="auto"/>
      </w:pPr>
      <w:r>
        <w:separator/>
      </w:r>
    </w:p>
  </w:footnote>
  <w:footnote w:type="continuationSeparator" w:id="0">
    <w:p w:rsidR="004F280A" w:rsidRDefault="004F280A" w:rsidP="00F7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6E"/>
    <w:rsid w:val="000A4EFD"/>
    <w:rsid w:val="004F280A"/>
    <w:rsid w:val="00803A7E"/>
    <w:rsid w:val="00C3389E"/>
    <w:rsid w:val="00F7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086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6E"/>
  </w:style>
  <w:style w:type="paragraph" w:styleId="Footer">
    <w:name w:val="footer"/>
    <w:basedOn w:val="Normal"/>
    <w:link w:val="FooterChar"/>
    <w:uiPriority w:val="99"/>
    <w:unhideWhenUsed/>
    <w:rsid w:val="00F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086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6E"/>
  </w:style>
  <w:style w:type="paragraph" w:styleId="Footer">
    <w:name w:val="footer"/>
    <w:basedOn w:val="Normal"/>
    <w:link w:val="FooterChar"/>
    <w:uiPriority w:val="99"/>
    <w:unhideWhenUsed/>
    <w:rsid w:val="00F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2020-03-25T06:00:00Z</dcterms:created>
  <dcterms:modified xsi:type="dcterms:W3CDTF">2020-03-25T06:16:00Z</dcterms:modified>
</cp:coreProperties>
</file>