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0D" w:rsidRPr="0091490D" w:rsidRDefault="00467C8D" w:rsidP="0091490D">
      <w:pPr>
        <w:spacing w:before="0" w:after="0" w:afterAutospacing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9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TRƯỜNG </w:t>
      </w:r>
      <w:r w:rsidR="0091490D" w:rsidRPr="0091490D">
        <w:rPr>
          <w:rFonts w:ascii="Times New Roman" w:hAnsi="Times New Roman" w:cs="Times New Roman"/>
          <w:color w:val="000000" w:themeColor="text1"/>
          <w:sz w:val="26"/>
          <w:szCs w:val="26"/>
        </w:rPr>
        <w:t>TRUNG HỌC CƠ SỞ</w:t>
      </w:r>
    </w:p>
    <w:p w:rsidR="0091490D" w:rsidRPr="0091490D" w:rsidRDefault="0091490D" w:rsidP="0091490D">
      <w:pPr>
        <w:spacing w:before="0" w:after="0" w:afterAutospacing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9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91490D">
        <w:rPr>
          <w:rFonts w:ascii="Times New Roman" w:hAnsi="Times New Roman" w:cs="Times New Roman"/>
          <w:color w:val="000000" w:themeColor="text1"/>
          <w:sz w:val="26"/>
          <w:szCs w:val="26"/>
        </w:rPr>
        <w:t>CHU VĂN AN</w:t>
      </w:r>
    </w:p>
    <w:p w:rsidR="00467C8D" w:rsidRPr="00467C8D" w:rsidRDefault="00467C8D" w:rsidP="0091490D">
      <w:pPr>
        <w:spacing w:before="0" w:after="0" w:afterAutospacing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67C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149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467C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NHÓM VĂN 7</w:t>
      </w:r>
    </w:p>
    <w:p w:rsidR="00467C8D" w:rsidRPr="00467C8D" w:rsidRDefault="0091490D" w:rsidP="0091490D">
      <w:pPr>
        <w:spacing w:before="24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5715</wp:posOffset>
                </wp:positionV>
                <wp:extent cx="9829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DB80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.45pt" to="120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467C8D" w:rsidRPr="00467C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HƯỚNG DẪN HỌC SINH TỰ HỌC – MÔN NGỮ VĂN 7</w:t>
      </w:r>
      <w:r w:rsidR="00467C8D" w:rsidRPr="00467C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NĂM HỌC: 2021 – 2022</w:t>
      </w:r>
      <w:r w:rsidR="00467C8D" w:rsidRPr="00467C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TUẦN 5</w:t>
      </w:r>
    </w:p>
    <w:tbl>
      <w:tblPr>
        <w:tblStyle w:val="TableGrid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5529"/>
      </w:tblGrid>
      <w:tr w:rsidR="00467C8D" w:rsidRPr="00467C8D" w:rsidTr="0091490D">
        <w:tc>
          <w:tcPr>
            <w:tcW w:w="3544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529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67C8D" w:rsidRPr="00467C8D" w:rsidTr="0091490D">
        <w:tc>
          <w:tcPr>
            <w:tcW w:w="3544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91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490D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91490D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Từ</w:t>
            </w:r>
            <w:proofErr w:type="spellEnd"/>
            <w:r w:rsidRPr="0091490D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91490D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loại</w:t>
            </w:r>
            <w:proofErr w:type="spellEnd"/>
          </w:p>
        </w:tc>
        <w:tc>
          <w:tcPr>
            <w:tcW w:w="5529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67C8D" w:rsidRPr="00467C8D" w:rsidTr="0091490D">
        <w:tc>
          <w:tcPr>
            <w:tcW w:w="3544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9149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 HÁN VIỆT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I/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ví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trang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69-70/ SGK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II/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III.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rộng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sinh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ví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dụ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SGK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trả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lời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câu</w:t>
            </w:r>
            <w:proofErr w:type="spellEnd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hỏi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HS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tự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nhận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diện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yếu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tố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em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chú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ý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những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yếu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tố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in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đậm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ở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ví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dụ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1,2/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69 (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phần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I)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yếu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1490D">
              <w:rPr>
                <w:color w:val="000000"/>
                <w:sz w:val="26"/>
                <w:szCs w:val="26"/>
              </w:rPr>
              <w:t>tố:Nam</w:t>
            </w:r>
            <w:proofErr w:type="spellEnd"/>
            <w:proofErr w:type="gram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phương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Nam)</w:t>
            </w:r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Quốc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nước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>)</w:t>
            </w:r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Sơn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núi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>)</w:t>
            </w:r>
            <w:r w:rsidRPr="0091490D">
              <w:rPr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sông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yếu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>: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+ Nam: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độc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Miền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Nam,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phía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1490D">
              <w:rPr>
                <w:i/>
                <w:color w:val="000000"/>
                <w:sz w:val="26"/>
                <w:szCs w:val="26"/>
              </w:rPr>
              <w:t>Nam,…</w:t>
            </w:r>
            <w:proofErr w:type="gramEnd"/>
            <w:r w:rsidRPr="0091490D">
              <w:rPr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Quốc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sơn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độc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được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sym w:font="Wingdings 3" w:char="F05F"/>
            </w:r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yếu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>.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Phân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loại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yếu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tố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đồng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âm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nhưng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khác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nghĩa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thư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trời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kỉ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lí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nghìn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đô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Thăng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Long </w:t>
            </w:r>
            <w:r w:rsidRPr="0091490D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thiên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dời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cấu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90D">
              <w:rPr>
                <w:rFonts w:ascii="Times New Roman" w:hAnsi="Times New Roman" w:cs="Times New Roman"/>
                <w:sz w:val="26"/>
                <w:szCs w:val="26"/>
              </w:rPr>
              <w:sym w:font="Wingdings 3" w:char="F092"/>
            </w: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thể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ghép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đồng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độc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lập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ghép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TableGrid"/>
              <w:tblW w:w="4963" w:type="dxa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3294"/>
            </w:tblGrid>
            <w:tr w:rsidR="00467C8D" w:rsidRPr="0091490D" w:rsidTr="00467C8D">
              <w:trPr>
                <w:trHeight w:val="388"/>
              </w:trPr>
              <w:tc>
                <w:tcPr>
                  <w:tcW w:w="1669" w:type="dxa"/>
                </w:tcPr>
                <w:p w:rsidR="00467C8D" w:rsidRPr="0091490D" w:rsidRDefault="00467C8D" w:rsidP="0091490D">
                  <w:pPr>
                    <w:spacing w:after="0" w:afterAutospacing="0" w:line="312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ghép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đẳng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lập</w:t>
                  </w:r>
                  <w:proofErr w:type="spellEnd"/>
                </w:p>
              </w:tc>
              <w:tc>
                <w:tcPr>
                  <w:tcW w:w="3294" w:type="dxa"/>
                </w:tcPr>
                <w:p w:rsidR="00467C8D" w:rsidRPr="0091490D" w:rsidRDefault="00467C8D" w:rsidP="0091490D">
                  <w:pPr>
                    <w:spacing w:after="0" w:afterAutospacing="0" w:line="312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ghép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phụ</w:t>
                  </w:r>
                  <w:proofErr w:type="spellEnd"/>
                </w:p>
              </w:tc>
            </w:tr>
            <w:tr w:rsidR="00467C8D" w:rsidRPr="0091490D" w:rsidTr="00467C8D">
              <w:trPr>
                <w:trHeight w:val="2663"/>
              </w:trPr>
              <w:tc>
                <w:tcPr>
                  <w:tcW w:w="1669" w:type="dxa"/>
                </w:tcPr>
                <w:p w:rsidR="00467C8D" w:rsidRPr="0091490D" w:rsidRDefault="00467C8D" w:rsidP="0091490D">
                  <w:pPr>
                    <w:spacing w:after="0" w:afterAutospacing="0" w:line="312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Sơn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hà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xâm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phạm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giang</w:t>
                  </w:r>
                  <w:proofErr w:type="spellEnd"/>
                  <w:r w:rsidRPr="0091490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san</w:t>
                  </w:r>
                </w:p>
              </w:tc>
              <w:tc>
                <w:tcPr>
                  <w:tcW w:w="3294" w:type="dxa"/>
                </w:tcPr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Ái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quốc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thủ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môn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chiến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thắng</w:t>
                  </w:r>
                  <w:proofErr w:type="spellEnd"/>
                </w:p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C      P     C     P       C       P</w:t>
                  </w:r>
                </w:p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sym w:font="Wingdings 3" w:char="F05F"/>
                  </w:r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Yếu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tố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chính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đứng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trước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phụ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đứng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sau</w:t>
                  </w:r>
                  <w:proofErr w:type="spellEnd"/>
                </w:p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Thiên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thư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thạch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mã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u w:val="single"/>
                      <w:shd w:val="clear" w:color="auto" w:fill="FFFFFF"/>
                    </w:rPr>
                    <w:t>tái</w:t>
                  </w:r>
                  <w:proofErr w:type="spellEnd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phạm</w:t>
                  </w:r>
                  <w:proofErr w:type="spellEnd"/>
                </w:p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 P       C       P     C    P     C</w:t>
                  </w:r>
                </w:p>
                <w:p w:rsidR="00467C8D" w:rsidRPr="0091490D" w:rsidRDefault="00467C8D" w:rsidP="0091490D">
                  <w:pPr>
                    <w:pStyle w:val="NormalWeb"/>
                    <w:spacing w:before="0" w:beforeAutospacing="0" w:after="0" w:afterAutospacing="0" w:line="312" w:lineRule="auto"/>
                    <w:ind w:right="48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91490D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sym w:font="Wingdings 3" w:char="F05F"/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Yếu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tố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phụ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đứng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trước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chính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đứng</w:t>
                  </w:r>
                  <w:proofErr w:type="spellEnd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91490D">
                    <w:rPr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  <w:t>sau</w:t>
                  </w:r>
                  <w:proofErr w:type="spellEnd"/>
                </w:p>
              </w:tc>
            </w:tr>
          </w:tbl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1490D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2: SGK /70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1, 2, 3, 4 (SGK/70,71)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Xác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đoạn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loại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“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Đêm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nay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mẹ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ngủ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mai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khai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lớp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con.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Mẹ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sẽ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đưa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đên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cầm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tay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dắt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qua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cánh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cổng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rồi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buông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tay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mà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nói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: “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hãy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can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đảm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lên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thế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giới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này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con,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bước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qua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cánh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cổng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thế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giới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kì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diệu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sẽ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mở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ra</w:t>
            </w:r>
            <w:proofErr w:type="spellEnd"/>
            <w:r w:rsidRPr="0091490D">
              <w:rPr>
                <w:rFonts w:ascii="Times New Roman" w:hAnsi="Times New Roman" w:cs="Times New Roman"/>
                <w:i/>
                <w:sz w:val="26"/>
                <w:szCs w:val="26"/>
              </w:rPr>
              <w:t>”.</w:t>
            </w:r>
          </w:p>
        </w:tc>
        <w:bookmarkStart w:id="0" w:name="_GoBack"/>
        <w:bookmarkEnd w:id="0"/>
      </w:tr>
      <w:tr w:rsidR="00467C8D" w:rsidRPr="00467C8D" w:rsidTr="0091490D">
        <w:tc>
          <w:tcPr>
            <w:tcW w:w="3544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Tiếng</w:t>
            </w:r>
            <w:proofErr w:type="spellEnd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9149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 HÁN VIỆT (</w:t>
            </w:r>
            <w:proofErr w:type="spellStart"/>
            <w:r w:rsidRPr="009149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tt</w:t>
            </w:r>
            <w:proofErr w:type="spellEnd"/>
            <w:r w:rsidRPr="009149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91490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ví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trang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81/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sgk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 w:rsidR="0091490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rộng</w:t>
            </w:r>
            <w:proofErr w:type="spellEnd"/>
          </w:p>
        </w:tc>
        <w:tc>
          <w:tcPr>
            <w:tcW w:w="5529" w:type="dxa"/>
          </w:tcPr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right="48"/>
              <w:jc w:val="both"/>
              <w:rPr>
                <w:b/>
                <w:color w:val="000000"/>
                <w:sz w:val="26"/>
                <w:szCs w:val="26"/>
              </w:rPr>
            </w:pPr>
            <w:r w:rsidRPr="0091490D">
              <w:rPr>
                <w:b/>
                <w:color w:val="000000"/>
                <w:sz w:val="26"/>
                <w:szCs w:val="26"/>
              </w:rPr>
              <w:t xml:space="preserve">I.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đọc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ví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dụ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lời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91490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color w:val="000000"/>
                <w:sz w:val="26"/>
                <w:szCs w:val="26"/>
              </w:rPr>
              <w:t>hỏi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i/>
                <w:color w:val="000000"/>
                <w:sz w:val="26"/>
                <w:szCs w:val="26"/>
              </w:rPr>
              <w:t>“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phụ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nữ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”</w:t>
            </w:r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sym w:font="Wingdings 3" w:char="F092"/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biểu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cảm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trang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trọng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cho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lời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văn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i/>
                <w:color w:val="000000"/>
                <w:sz w:val="26"/>
                <w:szCs w:val="26"/>
              </w:rPr>
              <w:t>“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trần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”, “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mai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táng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”</w:t>
            </w:r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sym w:font="Wingdings 3" w:char="F092"/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ra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tôn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kính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i/>
                <w:color w:val="000000"/>
                <w:sz w:val="26"/>
                <w:szCs w:val="26"/>
              </w:rPr>
              <w:t>“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tử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color w:val="000000"/>
                <w:sz w:val="26"/>
                <w:szCs w:val="26"/>
              </w:rPr>
              <w:t>thi</w:t>
            </w:r>
            <w:proofErr w:type="spellEnd"/>
            <w:r w:rsidRPr="0091490D">
              <w:rPr>
                <w:i/>
                <w:color w:val="000000"/>
                <w:sz w:val="26"/>
                <w:szCs w:val="26"/>
              </w:rPr>
              <w:t>”</w:t>
            </w:r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sym w:font="Wingdings 3" w:char="F092"/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tao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nhã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tránh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cảm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giác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thô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tục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ghê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sợ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>.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Kinh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đô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yết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trâxm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bệ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thần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91490D">
              <w:rPr>
                <w:b/>
                <w:i/>
                <w:color w:val="000000"/>
                <w:sz w:val="26"/>
                <w:szCs w:val="26"/>
              </w:rPr>
              <w:sym w:font="Wingdings 3" w:char="F092"/>
            </w:r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cổ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phù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hợp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không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khí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xã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hội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xưa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(XH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phong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b/>
                <w:i/>
                <w:color w:val="000000"/>
                <w:sz w:val="26"/>
                <w:szCs w:val="26"/>
              </w:rPr>
              <w:t>kiến</w:t>
            </w:r>
            <w:proofErr w:type="spellEnd"/>
            <w:r w:rsidRPr="0091490D">
              <w:rPr>
                <w:b/>
                <w:i/>
                <w:color w:val="000000"/>
                <w:sz w:val="26"/>
                <w:szCs w:val="26"/>
              </w:rPr>
              <w:t>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sắc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thái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cảm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tôn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tao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nhã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tránh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thô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tục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ghê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sợ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>.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phù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xưa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lạm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Hán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a: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diễn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đạt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2 (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thuần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) hay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tiếp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b: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diễn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đạt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2 hay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14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color w:val="000000"/>
                <w:sz w:val="26"/>
                <w:szCs w:val="26"/>
              </w:rPr>
              <w:t>tiếp</w:t>
            </w:r>
            <w:proofErr w:type="spellEnd"/>
          </w:p>
          <w:p w:rsidR="00467C8D" w:rsidRPr="0091490D" w:rsidRDefault="00467C8D" w:rsidP="0091490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1490D">
              <w:rPr>
                <w:color w:val="000000"/>
                <w:sz w:val="26"/>
                <w:szCs w:val="26"/>
              </w:rPr>
              <w:sym w:font="Wingdings 3" w:char="F05F"/>
            </w:r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Khi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nói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hoặc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viết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i/>
                <w:sz w:val="26"/>
                <w:szCs w:val="26"/>
              </w:rPr>
              <w:t>không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nên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lạm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dụng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từ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Hán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Việt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i/>
                <w:sz w:val="26"/>
                <w:szCs w:val="26"/>
              </w:rPr>
              <w:t>làm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cho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lời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ăn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tiếng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nói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thiếu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tự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nhiên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i/>
                <w:sz w:val="26"/>
                <w:szCs w:val="26"/>
              </w:rPr>
              <w:t>thiếu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trong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sáng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1490D">
              <w:rPr>
                <w:i/>
                <w:sz w:val="26"/>
                <w:szCs w:val="26"/>
              </w:rPr>
              <w:t>không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phù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hợp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với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hoàn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cảnh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giao</w:t>
            </w:r>
            <w:proofErr w:type="spellEnd"/>
            <w:r w:rsidRPr="009149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i/>
                <w:sz w:val="26"/>
                <w:szCs w:val="26"/>
              </w:rPr>
              <w:t>tiếp</w:t>
            </w:r>
            <w:proofErr w:type="spellEnd"/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: SGK/83)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91490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467C8D" w:rsidRPr="0091490D" w:rsidRDefault="00467C8D" w:rsidP="0091490D">
            <w:pPr>
              <w:spacing w:after="0" w:afterAutospacing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1490D">
              <w:rPr>
                <w:rFonts w:ascii="Times New Roman" w:hAnsi="Times New Roman" w:cs="Times New Roman"/>
                <w:sz w:val="26"/>
                <w:szCs w:val="26"/>
              </w:rPr>
              <w:t xml:space="preserve"> 1, 2, 3, 4 (SGK/81-82)</w:t>
            </w:r>
          </w:p>
        </w:tc>
      </w:tr>
    </w:tbl>
    <w:p w:rsidR="00D84836" w:rsidRPr="00467C8D" w:rsidRDefault="00D84836">
      <w:pPr>
        <w:rPr>
          <w:rFonts w:ascii="Times New Roman" w:hAnsi="Times New Roman" w:cs="Times New Roman"/>
          <w:sz w:val="26"/>
          <w:szCs w:val="26"/>
        </w:rPr>
      </w:pPr>
    </w:p>
    <w:sectPr w:rsidR="00D84836" w:rsidRPr="00467C8D" w:rsidSect="009D0EB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8D"/>
    <w:rsid w:val="001038DD"/>
    <w:rsid w:val="00285C21"/>
    <w:rsid w:val="002E5FDA"/>
    <w:rsid w:val="00342FCC"/>
    <w:rsid w:val="00467C8D"/>
    <w:rsid w:val="004F2C0E"/>
    <w:rsid w:val="005463A7"/>
    <w:rsid w:val="005C1192"/>
    <w:rsid w:val="0091490D"/>
    <w:rsid w:val="009D0EB7"/>
    <w:rsid w:val="00A17545"/>
    <w:rsid w:val="00A40288"/>
    <w:rsid w:val="00B15F0D"/>
    <w:rsid w:val="00B21182"/>
    <w:rsid w:val="00C4441F"/>
    <w:rsid w:val="00C85677"/>
    <w:rsid w:val="00D84836"/>
    <w:rsid w:val="00D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0C4B5"/>
  <w15:chartTrackingRefBased/>
  <w15:docId w15:val="{DC7DA7F7-B3FC-49E4-B04C-9A396C5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C8D"/>
    <w:pPr>
      <w:spacing w:after="100" w:afterAutospacing="1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C8D"/>
    <w:pPr>
      <w:spacing w:before="0" w:after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7C8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2021-10-11T06:44:00Z</dcterms:created>
  <dcterms:modified xsi:type="dcterms:W3CDTF">2021-10-11T09:09:00Z</dcterms:modified>
</cp:coreProperties>
</file>