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AB25" w14:textId="5527D035" w:rsidR="0045387E" w:rsidRPr="0045387E" w:rsidRDefault="0045387E" w:rsidP="00FE1780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DF7100"/>
          <w:kern w:val="36"/>
          <w:sz w:val="36"/>
          <w:szCs w:val="36"/>
        </w:rPr>
      </w:pP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Ôn</w:t>
      </w:r>
      <w:proofErr w:type="spellEnd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 xml:space="preserve"> </w:t>
      </w:r>
      <w:proofErr w:type="spellStart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>tập</w:t>
      </w:r>
      <w:proofErr w:type="spellEnd"/>
      <w:r>
        <w:rPr>
          <w:rFonts w:ascii="Tahoma" w:eastAsia="Times New Roman" w:hAnsi="Tahoma" w:cs="Tahoma"/>
          <w:color w:val="DF7100"/>
          <w:kern w:val="36"/>
          <w:sz w:val="36"/>
          <w:szCs w:val="36"/>
        </w:rPr>
        <w:t xml:space="preserve"> </w:t>
      </w:r>
      <w:hyperlink r:id="rId4" w:history="1">
        <w:proofErr w:type="spellStart"/>
        <w:r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m</w:t>
        </w:r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ắt</w:t>
        </w:r>
        <w:proofErr w:type="spellEnd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cận</w:t>
        </w:r>
        <w:proofErr w:type="spellEnd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và</w:t>
        </w:r>
        <w:proofErr w:type="spellEnd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mắt</w:t>
        </w:r>
        <w:proofErr w:type="spellEnd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 xml:space="preserve"> </w:t>
        </w:r>
        <w:proofErr w:type="spellStart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lão</w:t>
        </w:r>
        <w:proofErr w:type="spellEnd"/>
        <w:r w:rsidRPr="0045387E">
          <w:rPr>
            <w:rFonts w:ascii="OpenSansBold" w:eastAsia="Times New Roman" w:hAnsi="OpenSansBold" w:cs="Tahoma"/>
            <w:color w:val="DF7100"/>
            <w:kern w:val="36"/>
            <w:sz w:val="36"/>
            <w:szCs w:val="36"/>
          </w:rPr>
          <w:t>.</w:t>
        </w:r>
      </w:hyperlink>
    </w:p>
    <w:p w14:paraId="5C964B55" w14:textId="77777777" w:rsidR="0045387E" w:rsidRPr="0045387E" w:rsidRDefault="0045387E" w:rsidP="0045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BC0E2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I - MẮT CẬN</w:t>
      </w:r>
    </w:p>
    <w:p w14:paraId="1A634C09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1.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Những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biểu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hiện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tật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cận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thị</w:t>
      </w:r>
      <w:proofErr w:type="spellEnd"/>
    </w:p>
    <w:p w14:paraId="6E68B601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thị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gần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nhưng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xa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421B422B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2.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Cách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khắc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phục</w:t>
      </w:r>
      <w:proofErr w:type="spellEnd"/>
    </w:p>
    <w:p w14:paraId="2AC64490" w14:textId="16D55695" w:rsidR="0045387E" w:rsidRPr="0045387E" w:rsidRDefault="0045387E" w:rsidP="0045387E">
      <w:pPr>
        <w:spacing w:after="0" w:line="390" w:lineRule="atLeast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noProof/>
          <w:color w:val="000000"/>
          <w:sz w:val="27"/>
          <w:szCs w:val="27"/>
        </w:rPr>
        <w:drawing>
          <wp:inline distT="0" distB="0" distL="0" distR="0" wp14:anchorId="5AE48A23" wp14:editId="344D5C29">
            <wp:extent cx="4897755" cy="1295400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1318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phân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kì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42863DD6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+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phải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đeo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phân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kì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xa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32FF0479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+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thị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thích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hợp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có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tiêu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F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trùng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với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viễn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(CV)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(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tiêu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bằng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khoảng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viễn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)</w:t>
      </w:r>
    </w:p>
    <w:p w14:paraId="7C5B659A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bị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phải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điều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tiết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tiêu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thủy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nằm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trước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màng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lưới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(Cc)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viễn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(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Cv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)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gần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hơn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viễn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người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bình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thường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5955C85E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80"/>
          <w:sz w:val="27"/>
          <w:szCs w:val="27"/>
        </w:rPr>
        <w:t>II - MẮT LÃO</w:t>
      </w:r>
    </w:p>
    <w:p w14:paraId="4AF4AF11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1.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Những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đặc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điểm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của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mắt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lão</w:t>
      </w:r>
      <w:proofErr w:type="spellEnd"/>
    </w:p>
    <w:p w14:paraId="27ECEEC0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người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già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đó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cơ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vòng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đỡ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thủy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đã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yếu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nên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khả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năng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điều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tiết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kém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hẳn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479011D8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xa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nhưng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gần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7D0959FD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cận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xa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hơn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so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với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bình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thường</w:t>
      </w:r>
      <w:proofErr w:type="spellEnd"/>
    </w:p>
    <w:p w14:paraId="6ACE4CE6" w14:textId="77777777" w:rsidR="0045387E" w:rsidRPr="0045387E" w:rsidRDefault="0045387E" w:rsidP="0045387E">
      <w:pPr>
        <w:spacing w:after="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2.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Cách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khắc</w:t>
      </w:r>
      <w:proofErr w:type="spellEnd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  <w:t>phục</w:t>
      </w:r>
      <w:proofErr w:type="spellEnd"/>
    </w:p>
    <w:p w14:paraId="0768F57D" w14:textId="24255E44" w:rsidR="0045387E" w:rsidRPr="0045387E" w:rsidRDefault="0045387E" w:rsidP="0045387E">
      <w:pPr>
        <w:spacing w:after="0" w:line="390" w:lineRule="atLeast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 wp14:anchorId="0C944473" wp14:editId="5A4F02A5">
            <wp:extent cx="4260215" cy="1274445"/>
            <wp:effectExtent l="0" t="0" r="6985" b="1905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7F78" w14:textId="77777777" w:rsidR="0045387E" w:rsidRP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là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hội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tụ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.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phải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đeo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kính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hội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tụ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nhìn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rõ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những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vật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ở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gần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3B8D0E3D" w14:textId="7838098A" w:rsidR="0045387E" w:rsidRDefault="0045387E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-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không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điều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tiết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tiêu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thể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thủy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tinh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nằm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trên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màng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lưới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,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điểm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cực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viễn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của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mắt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lão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như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người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bình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spellStart"/>
      <w:r w:rsidRPr="0045387E">
        <w:rPr>
          <w:rFonts w:ascii="Tahoma" w:eastAsia="Times New Roman" w:hAnsi="Tahoma" w:cs="Tahoma"/>
          <w:color w:val="000000"/>
          <w:sz w:val="27"/>
          <w:szCs w:val="27"/>
        </w:rPr>
        <w:t>thường</w:t>
      </w:r>
      <w:proofErr w:type="spellEnd"/>
      <w:r w:rsidRPr="0045387E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14:paraId="18D2E447" w14:textId="6D8C360E" w:rsidR="00C2589B" w:rsidRDefault="00C2589B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</w:p>
    <w:p w14:paraId="3702B51E" w14:textId="7DEB0774" w:rsidR="00C2589B" w:rsidRDefault="00C2589B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</w:p>
    <w:p w14:paraId="3C89D8E3" w14:textId="77777777" w:rsidR="00C2589B" w:rsidRPr="0045387E" w:rsidRDefault="00C2589B" w:rsidP="0045387E">
      <w:pPr>
        <w:spacing w:after="180" w:line="390" w:lineRule="atLeast"/>
        <w:jc w:val="both"/>
        <w:rPr>
          <w:rFonts w:ascii="Tahoma" w:eastAsia="Times New Roman" w:hAnsi="Tahoma" w:cs="Tahoma"/>
          <w:color w:val="000000"/>
          <w:sz w:val="27"/>
          <w:szCs w:val="27"/>
        </w:rPr>
      </w:pPr>
    </w:p>
    <w:p w14:paraId="2D68065D" w14:textId="18A47563" w:rsidR="0045387E" w:rsidRPr="0045387E" w:rsidRDefault="00C2589B" w:rsidP="00C2589B">
      <w:pPr>
        <w:spacing w:after="0" w:line="390" w:lineRule="atLeast"/>
        <w:jc w:val="center"/>
        <w:rPr>
          <w:rFonts w:ascii="Tahoma" w:eastAsia="Times New Roman" w:hAnsi="Tahoma" w:cs="Tahoma"/>
          <w:color w:val="000000"/>
          <w:sz w:val="36"/>
          <w:szCs w:val="36"/>
        </w:rPr>
      </w:pP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>S</w:t>
      </w:r>
      <w:r w:rsidRPr="0045387E">
        <w:rPr>
          <w:rFonts w:ascii="OpenSansBold" w:eastAsia="Times New Roman" w:hAnsi="OpenSansBold" w:cs="Tahoma" w:hint="eastAsia"/>
          <w:b/>
          <w:bCs/>
          <w:color w:val="000000"/>
          <w:sz w:val="36"/>
          <w:szCs w:val="36"/>
        </w:rPr>
        <w:t>Ơ</w:t>
      </w: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 xml:space="preserve"> </w:t>
      </w:r>
      <w:r w:rsidRPr="0045387E">
        <w:rPr>
          <w:rFonts w:ascii="OpenSansBold" w:eastAsia="Times New Roman" w:hAnsi="OpenSansBold" w:cs="Tahoma" w:hint="eastAsia"/>
          <w:b/>
          <w:bCs/>
          <w:color w:val="000000"/>
          <w:sz w:val="36"/>
          <w:szCs w:val="36"/>
        </w:rPr>
        <w:t>Đ</w:t>
      </w: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>Ồ T</w:t>
      </w:r>
      <w:r w:rsidRPr="0045387E">
        <w:rPr>
          <w:rFonts w:ascii="OpenSansBold" w:eastAsia="Times New Roman" w:hAnsi="OpenSansBold" w:cs="Tahoma" w:hint="eastAsia"/>
          <w:b/>
          <w:bCs/>
          <w:color w:val="000000"/>
          <w:sz w:val="36"/>
          <w:szCs w:val="36"/>
        </w:rPr>
        <w:t>Ư</w:t>
      </w: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 xml:space="preserve"> DUY VỀ MẮT CẬN V</w:t>
      </w:r>
      <w:r w:rsidRPr="0045387E">
        <w:rPr>
          <w:rFonts w:ascii="OpenSansBold" w:eastAsia="Times New Roman" w:hAnsi="OpenSansBold" w:cs="Tahoma" w:hint="eastAsia"/>
          <w:b/>
          <w:bCs/>
          <w:color w:val="000000"/>
          <w:sz w:val="36"/>
          <w:szCs w:val="36"/>
        </w:rPr>
        <w:t>À</w:t>
      </w: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 xml:space="preserve"> MẮT L</w:t>
      </w:r>
      <w:r w:rsidRPr="0045387E">
        <w:rPr>
          <w:rFonts w:ascii="OpenSansBold" w:eastAsia="Times New Roman" w:hAnsi="OpenSansBold" w:cs="Tahoma" w:hint="eastAsia"/>
          <w:b/>
          <w:bCs/>
          <w:color w:val="000000"/>
          <w:sz w:val="36"/>
          <w:szCs w:val="36"/>
        </w:rPr>
        <w:t>Ã</w:t>
      </w:r>
      <w:r w:rsidRPr="0045387E">
        <w:rPr>
          <w:rFonts w:ascii="OpenSansBold" w:eastAsia="Times New Roman" w:hAnsi="OpenSansBold" w:cs="Tahoma"/>
          <w:b/>
          <w:bCs/>
          <w:color w:val="000000"/>
          <w:sz w:val="36"/>
          <w:szCs w:val="36"/>
        </w:rPr>
        <w:t>O</w:t>
      </w:r>
    </w:p>
    <w:p w14:paraId="0AC8ED36" w14:textId="0A17CC7E" w:rsidR="0045387E" w:rsidRPr="0045387E" w:rsidRDefault="0045387E" w:rsidP="0045387E">
      <w:pPr>
        <w:spacing w:after="0" w:line="390" w:lineRule="atLeast"/>
        <w:jc w:val="both"/>
        <w:rPr>
          <w:rFonts w:ascii="OpenSansBold" w:eastAsia="Times New Roman" w:hAnsi="OpenSansBold" w:cs="Tahoma"/>
          <w:b/>
          <w:bCs/>
          <w:color w:val="000000"/>
          <w:sz w:val="27"/>
          <w:szCs w:val="27"/>
        </w:rPr>
      </w:pPr>
      <w:r w:rsidRPr="0045387E">
        <w:rPr>
          <w:rFonts w:ascii="OpenSansBold" w:eastAsia="Times New Roman" w:hAnsi="OpenSansBold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2F129A30" wp14:editId="30E01EEC">
            <wp:extent cx="5943600" cy="2156460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C8BEF" w14:textId="74B768F1" w:rsidR="00AC0091" w:rsidRDefault="0045387E" w:rsidP="0045387E">
      <w:r w:rsidRPr="0045387E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AC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12"/>
    <w:rsid w:val="0045387E"/>
    <w:rsid w:val="00AC0091"/>
    <w:rsid w:val="00C2589B"/>
    <w:rsid w:val="00E03912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1DF16"/>
  <w15:chartTrackingRefBased/>
  <w15:docId w15:val="{5FDFEB5E-D9CC-4112-9FCD-B513386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8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538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387E"/>
    <w:rPr>
      <w:b/>
      <w:bCs/>
    </w:rPr>
  </w:style>
  <w:style w:type="character" w:customStyle="1" w:styleId="link-btn-label">
    <w:name w:val="link-btn-label"/>
    <w:basedOn w:val="DefaultParagraphFont"/>
    <w:rsid w:val="0045387E"/>
  </w:style>
  <w:style w:type="character" w:customStyle="1" w:styleId="label--pressed">
    <w:name w:val="label--pressed"/>
    <w:basedOn w:val="DefaultParagraphFont"/>
    <w:rsid w:val="0045387E"/>
  </w:style>
  <w:style w:type="character" w:customStyle="1" w:styleId="plyrtooltip">
    <w:name w:val="plyr__tooltip"/>
    <w:basedOn w:val="DefaultParagraphFont"/>
    <w:rsid w:val="0045387E"/>
  </w:style>
  <w:style w:type="paragraph" w:styleId="NormalWeb">
    <w:name w:val="Normal (Web)"/>
    <w:basedOn w:val="Normal"/>
    <w:uiPriority w:val="99"/>
    <w:semiHidden/>
    <w:unhideWhenUsed/>
    <w:rsid w:val="0045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3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71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0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9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loigiaihay.com/ly-thuyet-mat-can-va-mat-lao-c60a7888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4</cp:revision>
  <dcterms:created xsi:type="dcterms:W3CDTF">2023-03-24T01:03:00Z</dcterms:created>
  <dcterms:modified xsi:type="dcterms:W3CDTF">2023-03-24T01:05:00Z</dcterms:modified>
</cp:coreProperties>
</file>