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A4" w:rsidRPr="007E0F4B" w:rsidRDefault="00CA2B7B" w:rsidP="007E0F4B">
      <w:pPr>
        <w:pStyle w:val="NormalWeb"/>
        <w:spacing w:before="0" w:beforeAutospacing="0" w:after="0" w:afterAutospacing="0" w:line="276" w:lineRule="auto"/>
        <w:ind w:firstLine="720"/>
        <w:jc w:val="both"/>
        <w:rPr>
          <w:sz w:val="28"/>
          <w:szCs w:val="28"/>
        </w:rPr>
      </w:pPr>
      <w:r w:rsidRPr="00CA2B7B">
        <w:rPr>
          <w:sz w:val="28"/>
          <w:szCs w:val="28"/>
        </w:rPr>
        <w:t>Sáng ngày 03/10/2022,</w:t>
      </w:r>
      <w:r w:rsidRPr="00CA2B7B">
        <w:rPr>
          <w:sz w:val="28"/>
          <w:szCs w:val="28"/>
        </w:rPr>
        <w:t xml:space="preserve"> hòa </w:t>
      </w:r>
      <w:r w:rsidRPr="00CA2B7B">
        <w:rPr>
          <w:sz w:val="28"/>
          <w:szCs w:val="28"/>
        </w:rPr>
        <w:t>chung không khí của Huyện Bình Chánh; UBND Thị trấn phối hợp với trường THCS Tân Túc</w:t>
      </w:r>
      <w:r w:rsidRPr="00CA2B7B">
        <w:rPr>
          <w:sz w:val="28"/>
          <w:szCs w:val="28"/>
        </w:rPr>
        <w:t xml:space="preserve"> phát động hưởng ứng </w:t>
      </w:r>
      <w:r w:rsidRPr="00CA2B7B">
        <w:rPr>
          <w:sz w:val="28"/>
          <w:szCs w:val="28"/>
        </w:rPr>
        <w:t xml:space="preserve">tuần lễ </w:t>
      </w:r>
      <w:r w:rsidRPr="00CA2B7B">
        <w:rPr>
          <w:sz w:val="28"/>
          <w:szCs w:val="28"/>
        </w:rPr>
        <w:t>học tập suốt đời năm 2022 (</w:t>
      </w:r>
      <w:r w:rsidRPr="00CA2B7B">
        <w:rPr>
          <w:i/>
          <w:iCs/>
          <w:sz w:val="28"/>
          <w:szCs w:val="28"/>
        </w:rPr>
        <w:t>từ ngày 01/10 đến ngày 07/10/2022),</w:t>
      </w:r>
      <w:r w:rsidRPr="00CA2B7B">
        <w:rPr>
          <w:sz w:val="28"/>
          <w:szCs w:val="28"/>
        </w:rPr>
        <w:t xml:space="preserve"> với chủ đề: </w:t>
      </w:r>
      <w:r w:rsidRPr="00CA2B7B">
        <w:rPr>
          <w:b/>
          <w:bCs/>
          <w:i/>
          <w:iCs/>
          <w:sz w:val="28"/>
          <w:szCs w:val="28"/>
        </w:rPr>
        <w:t>"Thúc đẩy chuyển đổi số phục vụ cho học tập suốt đời sau đại dịch COVID -19"</w:t>
      </w:r>
      <w:r w:rsidRPr="00CA2B7B">
        <w:rPr>
          <w:sz w:val="28"/>
          <w:szCs w:val="28"/>
        </w:rPr>
        <w:t>.</w:t>
      </w:r>
    </w:p>
    <w:p w:rsidR="00B970A4" w:rsidRPr="00B970A4" w:rsidRDefault="00B970A4" w:rsidP="007E0F4B">
      <w:pPr>
        <w:shd w:val="clear" w:color="auto" w:fill="FFFFFF"/>
        <w:spacing w:after="0" w:line="276" w:lineRule="auto"/>
        <w:ind w:firstLine="720"/>
        <w:jc w:val="both"/>
        <w:rPr>
          <w:rFonts w:eastAsia="Times New Roman" w:cs="Times New Roman"/>
          <w:color w:val="050505"/>
          <w:szCs w:val="28"/>
        </w:rPr>
      </w:pPr>
      <w:r w:rsidRPr="00B970A4">
        <w:rPr>
          <w:rFonts w:eastAsia="Times New Roman" w:cs="Times New Roman"/>
          <w:color w:val="050505"/>
          <w:szCs w:val="28"/>
        </w:rPr>
        <w:t>Đến dự Lễ phát động có đồng chí Huỳnh Thị Thu Trang, Ủy viên Ban thường vụ đảng ủy, Chủ tịch Ủy ban MTTQ VN thị trấn; đồng chí Trương Kim Phượng, Đảng ủy viên, Phó chủ tịch UBND thị trấn, đại diện ban ngành đoàn thể thị trấn, bí thư chi bộ khu phố, 15 chi hội khuyến học của thị trấn.</w:t>
      </w:r>
    </w:p>
    <w:p w:rsidR="00B970A4" w:rsidRDefault="00CA2B7B" w:rsidP="007E0F4B">
      <w:pPr>
        <w:spacing w:before="100" w:beforeAutospacing="1" w:after="100" w:afterAutospacing="1" w:line="276" w:lineRule="auto"/>
        <w:ind w:firstLine="720"/>
        <w:jc w:val="both"/>
        <w:rPr>
          <w:rFonts w:eastAsia="Times New Roman" w:cs="Times New Roman"/>
          <w:color w:val="050505"/>
          <w:szCs w:val="28"/>
        </w:rPr>
      </w:pPr>
      <w:r w:rsidRPr="00CA2B7B">
        <w:rPr>
          <w:rFonts w:eastAsia="Times New Roman" w:cs="Times New Roman"/>
          <w:szCs w:val="28"/>
        </w:rPr>
        <w:t xml:space="preserve">Tại buổi phát động, bà Kiều Nguyệt Hương Liên – Bí thư Chi bộ, Hiệu trưởng trường THCS Tân Túc kêu gọi toàn thể Cán bộ - Giáo viên – Công </w:t>
      </w:r>
      <w:r w:rsidR="0045393C">
        <w:rPr>
          <w:rFonts w:eastAsia="Times New Roman" w:cs="Times New Roman"/>
          <w:szCs w:val="28"/>
        </w:rPr>
        <w:t xml:space="preserve">nhân viên, </w:t>
      </w:r>
      <w:r w:rsidRPr="00CA2B7B">
        <w:rPr>
          <w:rFonts w:eastAsia="Times New Roman" w:cs="Times New Roman"/>
          <w:szCs w:val="28"/>
        </w:rPr>
        <w:t>học sinh toàn trường</w:t>
      </w:r>
      <w:r w:rsidRPr="00CA2B7B">
        <w:rPr>
          <w:rFonts w:eastAsia="Times New Roman" w:cs="Times New Roman"/>
          <w:szCs w:val="28"/>
        </w:rPr>
        <w:t xml:space="preserve"> cần phải tiếp tục học, học không ngừng, học ở mọi lúc mọi nơi, học cho bản thân để hiểu biết hơn, học để thành ng</w:t>
      </w:r>
      <w:r w:rsidR="00B970A4">
        <w:rPr>
          <w:rFonts w:eastAsia="Times New Roman" w:cs="Times New Roman"/>
          <w:szCs w:val="28"/>
        </w:rPr>
        <w:t xml:space="preserve">ười và học để xây dựng đất nước và </w:t>
      </w:r>
      <w:r w:rsidR="00B970A4" w:rsidRPr="00B970A4">
        <w:rPr>
          <w:rFonts w:eastAsia="Times New Roman" w:cs="Times New Roman"/>
          <w:color w:val="050505"/>
          <w:szCs w:val="28"/>
        </w:rPr>
        <w:t xml:space="preserve">trao các thông điệp về học tập suốt đời đến các đại </w:t>
      </w:r>
      <w:r w:rsidR="00B970A4">
        <w:rPr>
          <w:rFonts w:eastAsia="Times New Roman" w:cs="Times New Roman"/>
          <w:color w:val="050505"/>
          <w:szCs w:val="28"/>
        </w:rPr>
        <w:t xml:space="preserve"> </w:t>
      </w:r>
      <w:r w:rsidR="00B970A4" w:rsidRPr="00B970A4">
        <w:rPr>
          <w:rFonts w:eastAsia="Times New Roman" w:cs="Times New Roman"/>
          <w:color w:val="050505"/>
          <w:szCs w:val="28"/>
        </w:rPr>
        <w:t>biểu tham dự và học sinh nhằm góp phần tuyên truyền, làm lan tỏa tinh thần “Học, học nữa, học mãi, học suốt đời” trong cộng đồng.</w:t>
      </w:r>
    </w:p>
    <w:p w:rsidR="007E0F4B" w:rsidRDefault="007E0F4B" w:rsidP="007E0F4B">
      <w:pPr>
        <w:spacing w:before="100" w:beforeAutospacing="1" w:after="100" w:afterAutospacing="1" w:line="276" w:lineRule="auto"/>
        <w:ind w:firstLine="720"/>
        <w:jc w:val="both"/>
        <w:rPr>
          <w:rFonts w:eastAsia="Times New Roman" w:cs="Times New Roman"/>
          <w:color w:val="050505"/>
          <w:szCs w:val="28"/>
        </w:rPr>
      </w:pPr>
    </w:p>
    <w:p w:rsidR="007E0F4B" w:rsidRPr="00B970A4" w:rsidRDefault="007E0F4B" w:rsidP="007E0F4B">
      <w:pPr>
        <w:spacing w:before="100" w:beforeAutospacing="1" w:after="100" w:afterAutospacing="1" w:line="360" w:lineRule="auto"/>
        <w:ind w:firstLine="720"/>
        <w:jc w:val="center"/>
        <w:rPr>
          <w:rFonts w:eastAsia="Times New Roman" w:cs="Times New Roman"/>
          <w:szCs w:val="28"/>
        </w:rPr>
      </w:pPr>
      <w:r>
        <w:rPr>
          <w:rFonts w:eastAsia="Times New Roman" w:cs="Times New Roman"/>
          <w:noProof/>
          <w:szCs w:val="28"/>
        </w:rPr>
        <w:drawing>
          <wp:inline distT="0" distB="0" distL="0" distR="0">
            <wp:extent cx="5225337" cy="391885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3769336592590_d5f1f38aad7b69342bb1de7786ff66ff.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55590" cy="3941546"/>
                    </a:xfrm>
                    <a:prstGeom prst="rect">
                      <a:avLst/>
                    </a:prstGeom>
                  </pic:spPr>
                </pic:pic>
              </a:graphicData>
            </a:graphic>
          </wp:inline>
        </w:drawing>
      </w:r>
    </w:p>
    <w:p w:rsidR="007E0F4B" w:rsidRDefault="007E0F4B" w:rsidP="007E0F4B">
      <w:pPr>
        <w:spacing w:before="100" w:beforeAutospacing="1" w:after="100" w:afterAutospacing="1" w:line="240" w:lineRule="auto"/>
        <w:ind w:firstLine="720"/>
        <w:jc w:val="center"/>
        <w:rPr>
          <w:rFonts w:eastAsia="Times New Roman" w:cs="Times New Roman"/>
          <w:noProof/>
          <w:szCs w:val="28"/>
        </w:rPr>
      </w:pPr>
      <w:r>
        <w:rPr>
          <w:rFonts w:eastAsia="Times New Roman" w:cs="Times New Roman"/>
          <w:noProof/>
          <w:szCs w:val="28"/>
        </w:rPr>
        <w:lastRenderedPageBreak/>
        <w:drawing>
          <wp:inline distT="0" distB="0" distL="0" distR="0">
            <wp:extent cx="5257800" cy="39350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0459814_436001038630810_4672635734517666122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07324" cy="3972118"/>
                    </a:xfrm>
                    <a:prstGeom prst="rect">
                      <a:avLst/>
                    </a:prstGeom>
                  </pic:spPr>
                </pic:pic>
              </a:graphicData>
            </a:graphic>
          </wp:inline>
        </w:drawing>
      </w:r>
    </w:p>
    <w:p w:rsidR="007E0F4B" w:rsidRDefault="007E0F4B" w:rsidP="007E0F4B">
      <w:pPr>
        <w:spacing w:before="100" w:beforeAutospacing="1" w:after="100" w:afterAutospacing="1" w:line="240" w:lineRule="auto"/>
        <w:ind w:firstLine="720"/>
        <w:jc w:val="both"/>
        <w:rPr>
          <w:rFonts w:eastAsia="Times New Roman" w:cs="Times New Roman"/>
          <w:noProof/>
          <w:szCs w:val="28"/>
        </w:rPr>
      </w:pPr>
    </w:p>
    <w:p w:rsidR="00B970A4" w:rsidRPr="00CA2B7B" w:rsidRDefault="007E0F4B" w:rsidP="007E0F4B">
      <w:pPr>
        <w:spacing w:before="100" w:beforeAutospacing="1" w:after="100" w:afterAutospacing="1" w:line="240" w:lineRule="auto"/>
        <w:ind w:firstLine="720"/>
        <w:jc w:val="center"/>
        <w:rPr>
          <w:rFonts w:eastAsia="Times New Roman" w:cs="Times New Roman"/>
          <w:szCs w:val="28"/>
        </w:rPr>
      </w:pPr>
      <w:r>
        <w:rPr>
          <w:rFonts w:eastAsia="Times New Roman" w:cs="Times New Roman"/>
          <w:noProof/>
          <w:szCs w:val="28"/>
        </w:rPr>
        <w:drawing>
          <wp:inline distT="0" distB="0" distL="0" distR="0">
            <wp:extent cx="5225142" cy="3508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0520056_436000868630827_497095016317409693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3524" cy="3540800"/>
                    </a:xfrm>
                    <a:prstGeom prst="rect">
                      <a:avLst/>
                    </a:prstGeom>
                  </pic:spPr>
                </pic:pic>
              </a:graphicData>
            </a:graphic>
          </wp:inline>
        </w:drawing>
      </w:r>
      <w:bookmarkStart w:id="0" w:name="_GoBack"/>
      <w:bookmarkEnd w:id="0"/>
    </w:p>
    <w:p w:rsidR="00CA2B7B" w:rsidRPr="001930CC" w:rsidRDefault="00CA2B7B" w:rsidP="00CA2B7B">
      <w:pPr>
        <w:spacing w:before="100" w:beforeAutospacing="1" w:after="100" w:afterAutospacing="1" w:line="240" w:lineRule="auto"/>
        <w:ind w:firstLine="720"/>
        <w:jc w:val="both"/>
        <w:rPr>
          <w:rFonts w:cs="Times New Roman"/>
          <w:sz w:val="32"/>
          <w:szCs w:val="32"/>
        </w:rPr>
      </w:pPr>
    </w:p>
    <w:p w:rsidR="00F85331" w:rsidRDefault="00F85331"/>
    <w:sectPr w:rsidR="00F85331" w:rsidSect="007E0F4B">
      <w:pgSz w:w="11907" w:h="16840" w:code="9"/>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7B"/>
    <w:rsid w:val="0045393C"/>
    <w:rsid w:val="005A64A0"/>
    <w:rsid w:val="007E0F4B"/>
    <w:rsid w:val="00B970A4"/>
    <w:rsid w:val="00CA2B7B"/>
    <w:rsid w:val="00F8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F4E0"/>
  <w15:chartTrackingRefBased/>
  <w15:docId w15:val="{DA4EC265-62CF-47EA-AB4A-D2AA766E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B7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94014">
      <w:bodyDiv w:val="1"/>
      <w:marLeft w:val="0"/>
      <w:marRight w:val="0"/>
      <w:marTop w:val="0"/>
      <w:marBottom w:val="0"/>
      <w:divBdr>
        <w:top w:val="none" w:sz="0" w:space="0" w:color="auto"/>
        <w:left w:val="none" w:sz="0" w:space="0" w:color="auto"/>
        <w:bottom w:val="none" w:sz="0" w:space="0" w:color="auto"/>
        <w:right w:val="none" w:sz="0" w:space="0" w:color="auto"/>
      </w:divBdr>
      <w:divsChild>
        <w:div w:id="1539777472">
          <w:marLeft w:val="0"/>
          <w:marRight w:val="0"/>
          <w:marTop w:val="0"/>
          <w:marBottom w:val="0"/>
          <w:divBdr>
            <w:top w:val="none" w:sz="0" w:space="0" w:color="auto"/>
            <w:left w:val="none" w:sz="0" w:space="0" w:color="auto"/>
            <w:bottom w:val="none" w:sz="0" w:space="0" w:color="auto"/>
            <w:right w:val="none" w:sz="0" w:space="0" w:color="auto"/>
          </w:divBdr>
        </w:div>
        <w:div w:id="380518969">
          <w:marLeft w:val="0"/>
          <w:marRight w:val="0"/>
          <w:marTop w:val="0"/>
          <w:marBottom w:val="0"/>
          <w:divBdr>
            <w:top w:val="none" w:sz="0" w:space="0" w:color="auto"/>
            <w:left w:val="none" w:sz="0" w:space="0" w:color="auto"/>
            <w:bottom w:val="none" w:sz="0" w:space="0" w:color="auto"/>
            <w:right w:val="none" w:sz="0" w:space="0" w:color="auto"/>
          </w:divBdr>
        </w:div>
        <w:div w:id="764767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162</Words>
  <Characters>926</Characters>
  <Application>Microsoft Office Word</Application>
  <DocSecurity>0</DocSecurity>
  <Lines>7</Lines>
  <Paragraphs>2</Paragraphs>
  <ScaleCrop>false</ScaleCrop>
  <Company>Microsoft</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2022-10-06T05:06:00Z</dcterms:created>
  <dcterms:modified xsi:type="dcterms:W3CDTF">2022-10-06T05:29:00Z</dcterms:modified>
</cp:coreProperties>
</file>