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6DF5" w14:textId="669933F0" w:rsidR="00854550" w:rsidRDefault="00854550" w:rsidP="00854550">
      <w:pPr>
        <w:spacing w:after="0"/>
        <w:jc w:val="center"/>
        <w:rPr>
          <w:rFonts w:eastAsia="Times New Roman" w:cstheme="minorHAnsi"/>
          <w:b/>
          <w:bCs/>
          <w:i/>
          <w:iCs/>
          <w:caps/>
          <w:color w:val="000000" w:themeColor="text1"/>
          <w:sz w:val="32"/>
          <w:szCs w:val="32"/>
          <w:shd w:val="clear" w:color="auto" w:fill="FFFFFF"/>
          <w:lang w:val="en-US" w:eastAsia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eastAsia="Times New Roman" w:cstheme="minorHAnsi"/>
          <w:b/>
          <w:bCs/>
          <w:i/>
          <w:iCs/>
          <w:caps/>
          <w:color w:val="000000" w:themeColor="text1"/>
          <w:sz w:val="32"/>
          <w:szCs w:val="32"/>
          <w:shd w:val="clear" w:color="auto" w:fill="FFFFFF"/>
          <w:lang w:val="en-US" w:eastAsia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cHUYÊN </w:t>
      </w:r>
      <w:proofErr w:type="gramStart"/>
      <w:r>
        <w:rPr>
          <w:rFonts w:eastAsia="Times New Roman" w:cstheme="minorHAnsi"/>
          <w:b/>
          <w:bCs/>
          <w:i/>
          <w:iCs/>
          <w:caps/>
          <w:color w:val="000000" w:themeColor="text1"/>
          <w:sz w:val="32"/>
          <w:szCs w:val="32"/>
          <w:shd w:val="clear" w:color="auto" w:fill="FFFFFF"/>
          <w:lang w:val="en-US" w:eastAsia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ĐỀ :</w:t>
      </w:r>
      <w:proofErr w:type="gramEnd"/>
      <w:r>
        <w:rPr>
          <w:rFonts w:eastAsia="Times New Roman" w:cstheme="minorHAnsi"/>
          <w:b/>
          <w:bCs/>
          <w:i/>
          <w:iCs/>
          <w:caps/>
          <w:color w:val="000000" w:themeColor="text1"/>
          <w:sz w:val="32"/>
          <w:szCs w:val="32"/>
          <w:shd w:val="clear" w:color="auto" w:fill="FFFFFF"/>
          <w:lang w:val="en-US" w:eastAsia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KỸ NĂNG GIAO TIẾP ỨNG XỬ</w:t>
      </w:r>
    </w:p>
    <w:p w14:paraId="22F97780" w14:textId="6B11FAE5" w:rsidR="00854550" w:rsidRPr="00854550" w:rsidRDefault="00CC6BD4" w:rsidP="00CC6BD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shd w:val="clear" w:color="auto" w:fill="FFFFFF"/>
          <w:lang w:eastAsia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Các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eastAsia="vi-VN"/>
          <w14:ligatures w14:val="none"/>
        </w:rPr>
        <w:t xml:space="preserve"> em thân mến!</w:t>
      </w:r>
    </w:p>
    <w:p w14:paraId="576A3686" w14:textId="150576B9" w:rsidR="00854550" w:rsidRPr="00854550" w:rsidRDefault="00CC6BD4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</w:pPr>
      <w:r w:rsidRPr="00CC6BD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  <w:t>Ông cha ta đã từng dăn dạy con cháu về các ứng xử rất hay đó là:</w:t>
      </w:r>
    </w:p>
    <w:p w14:paraId="20BAA865" w14:textId="77777777" w:rsidR="00854550" w:rsidRPr="00854550" w:rsidRDefault="00854550" w:rsidP="00854550">
      <w:pPr>
        <w:spacing w:after="0" w:line="276" w:lineRule="auto"/>
        <w:ind w:firstLine="72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  <w:t xml:space="preserve"> "Chim khôn kêu tiếng rảnh rang              </w:t>
      </w:r>
    </w:p>
    <w:p w14:paraId="33DAEBE1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  <w:t xml:space="preserve">   </w:t>
      </w: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  <w:tab/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ngoan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dịu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      </w:t>
      </w:r>
    </w:p>
    <w:p w14:paraId="7097F1A0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ta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trò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hoạt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giao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Bởi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quá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ta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 tin, 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tưởng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còn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yếu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hữu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hiệu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ta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tồn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cuộc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ai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khiếm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âm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ai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(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dụng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).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ta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"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túi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cha ta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dặn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: "Học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"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thậm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còn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luận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Bởi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"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"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theo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nghĩa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(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hiểu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)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"Cho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vừa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lòng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"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đòi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tập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rèn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nghiêm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túc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Tuy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nay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thiếu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ứngx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ử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thuẫn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hiềm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khích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thậm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đáng.Hơn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tượngc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tục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chửi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lóng,tiếng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mượn,nói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chuẩn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sang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việt,cũng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chuẩn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rèn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THCS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.</w:t>
      </w:r>
    </w:p>
    <w:p w14:paraId="101D6DA1" w14:textId="77777777" w:rsidR="00854550" w:rsidRPr="00854550" w:rsidRDefault="00854550" w:rsidP="00854550">
      <w:pPr>
        <w:spacing w:after="0" w:line="276" w:lineRule="auto"/>
        <w:ind w:left="283"/>
        <w:contextualSpacing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II.NỘI DUNG.</w:t>
      </w:r>
    </w:p>
    <w:p w14:paraId="54037F8C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Dưới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nguyên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chung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hướng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phát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triển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toàn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diện</w:t>
      </w:r>
      <w:proofErr w:type="spellEnd"/>
    </w:p>
    <w:p w14:paraId="2540F155" w14:textId="77777777" w:rsidR="00854550" w:rsidRPr="00854550" w:rsidRDefault="00854550" w:rsidP="00854550">
      <w:pPr>
        <w:spacing w:after="0" w:line="276" w:lineRule="auto"/>
        <w:ind w:left="113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US" w:eastAsia="vi-VN"/>
          <w14:ligatures w14:val="none"/>
        </w:rPr>
        <w:t>1.</w:t>
      </w:r>
      <w:r w:rsidRPr="00854550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en-GB" w:eastAsia="en-GB"/>
          <w14:ligatures w14:val="none"/>
        </w:rPr>
        <w:t xml:space="preserve"> </w:t>
      </w: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Các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nguyên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bằng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47770AB1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1.1. Học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hô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: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tuân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theo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tác</w:t>
      </w:r>
      <w:proofErr w:type="spellEnd"/>
    </w:p>
    <w:p w14:paraId="3CE206B6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gọi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chú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…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chênh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lệch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62848DC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 xml:space="preserve">Trong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tùy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bậc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gọi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/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Tuyệt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12800A79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so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51E82AC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dung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</w:p>
    <w:p w14:paraId="0E87DB9A" w14:textId="77777777" w:rsidR="00854550" w:rsidRPr="00854550" w:rsidRDefault="00854550" w:rsidP="00854550">
      <w:pPr>
        <w:spacing w:after="0" w:line="276" w:lineRule="auto"/>
        <w:ind w:left="113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1.2.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thu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hút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rõ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ràng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hiểu</w:t>
      </w:r>
      <w:proofErr w:type="spellEnd"/>
    </w:p>
    <w:p w14:paraId="0D0051A1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dung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dung,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048472E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Hai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chênh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truyền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hiểu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Trong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kiêu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kém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hòa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đồng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FDFAAAB" w14:textId="77777777" w:rsidR="00854550" w:rsidRPr="00854550" w:rsidRDefault="00854550" w:rsidP="00854550">
      <w:pPr>
        <w:spacing w:after="0" w:line="276" w:lineRule="auto"/>
        <w:ind w:left="113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1.3. Trong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lối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mỉa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mai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, “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mát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”</w:t>
      </w:r>
    </w:p>
    <w:p w14:paraId="52A33EBB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trích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tưởng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khen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chê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qua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điệu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nguýt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ngoáy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ấn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mỉa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kém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xét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nét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BAA7941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Xem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phim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chồng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gặp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bản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thoải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?</w:t>
      </w:r>
    </w:p>
    <w:p w14:paraId="35FA8CFA" w14:textId="77777777" w:rsidR="00854550" w:rsidRPr="00854550" w:rsidRDefault="00854550" w:rsidP="00854550">
      <w:pPr>
        <w:spacing w:after="0" w:line="276" w:lineRule="auto"/>
        <w:ind w:left="113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1.4.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lối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nơi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</w:p>
    <w:p w14:paraId="67FF2EE8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Thỉnh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thoảng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xét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tâm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vừa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ốm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“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sắc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mặc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nhợt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nhạt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ghê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Thay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mặt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cậu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lúc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ốm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“</w:t>
      </w:r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an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ủi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đoạn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3B75D30" w14:textId="77777777" w:rsidR="00854550" w:rsidRPr="00854550" w:rsidRDefault="00854550" w:rsidP="00854550">
      <w:pPr>
        <w:spacing w:after="0" w:line="276" w:lineRule="auto"/>
        <w:ind w:left="113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1.5.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cập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chủ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hiểu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tâm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chủ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nhạy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</w:p>
    <w:p w14:paraId="6C7ECB48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an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chủ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pháp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74988FC" w14:textId="77777777" w:rsidR="00854550" w:rsidRPr="00854550" w:rsidRDefault="00854550" w:rsidP="00854550">
      <w:pPr>
        <w:spacing w:after="0" w:line="276" w:lineRule="auto"/>
        <w:ind w:left="113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1.6.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</w:p>
    <w:p w14:paraId="3B1900E4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khẩu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địa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hiểu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nhầm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cổ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: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kỷ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9440065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2.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</w:p>
    <w:p w14:paraId="50D00D2A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 xml:space="preserve">2.1. Nói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bằng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chân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nhiên</w:t>
      </w:r>
      <w:proofErr w:type="spellEnd"/>
    </w:p>
    <w:p w14:paraId="5895E25E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ép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tâm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–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ấn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91A0F63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2.2.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im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lặng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lấp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lửng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bí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mật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chờ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đợi</w:t>
      </w:r>
      <w:proofErr w:type="spellEnd"/>
    </w:p>
    <w:p w14:paraId="47CCF745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Nguyên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trò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chia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1D36F5A6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2.3. Nói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gọn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gàng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đủ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kể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chi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bất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tuyệt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bất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chấp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muốn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</w:p>
    <w:p w14:paraId="607AA424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sát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Vừa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vừa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biểu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thú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ngáp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trĩu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xuống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nghiêng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chỗ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…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chủ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thúc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2.4.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bản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khoảng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vừa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</w:p>
    <w:p w14:paraId="5BF7D3D1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đồ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riêng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nghiêng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lung tung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nghĩ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soi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chút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tai,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rõ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D85D17E" w14:textId="77777777" w:rsidR="00854550" w:rsidRPr="00854550" w:rsidRDefault="00854550" w:rsidP="00854550">
      <w:pPr>
        <w:spacing w:after="0" w:line="276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nhóm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,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tuyệt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tai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vi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kém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1C29D13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tâm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riêng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mọi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210B4A0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2.5.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thật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tìm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dối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15EE25FC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chiếc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mua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đẹp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khen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đẹp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thích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lắm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...”</w:t>
      </w:r>
    </w:p>
    <w:p w14:paraId="6C33EF70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3.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Sử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ánh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</w:p>
    <w:p w14:paraId="1F75930D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song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</w:p>
    <w:p w14:paraId="7C971AD5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song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quen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Thỉnh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thoảng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phạm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vi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xung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thẳng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BED57A9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đảo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sang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B48D904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nheo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mọi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4BA5A7F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hướng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xuống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: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bi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tin,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phạm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do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C2EB7A4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điểm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nghĩ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tiêu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đầu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747F1F0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ai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định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áp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đồng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cơm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gắp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túng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E19321E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bởi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7A49000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Xem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nguyên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nắm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thủ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nguyên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đấy</w:t>
      </w:r>
      <w:proofErr w:type="spellEnd"/>
    </w:p>
    <w:p w14:paraId="5F352771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3. Quy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hóa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1536F2EB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nay,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tâm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nhằm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phục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lai</w:t>
      </w:r>
      <w:proofErr w:type="spellEnd"/>
    </w:p>
    <w:p w14:paraId="7811E52E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tồn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yếu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gắn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vi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dạy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cháu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: “Học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coi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vấn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này.Nó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xung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còn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phẩm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ngoan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trò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lịch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hóa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191FE4F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Trường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rèn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rèn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Trong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lưu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rõ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bổn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nhiệm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38D60C6B" w14:textId="77777777" w:rsidR="00854550" w:rsidRPr="00854550" w:rsidRDefault="00854550" w:rsidP="00854550">
      <w:pPr>
        <w:numPr>
          <w:ilvl w:val="1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   </w:t>
      </w:r>
    </w:p>
    <w:p w14:paraId="06A7380C" w14:textId="77777777" w:rsidR="00854550" w:rsidRPr="00854550" w:rsidRDefault="00854550" w:rsidP="00854550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phép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gặp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dửng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dung</w:t>
      </w:r>
    </w:p>
    <w:p w14:paraId="581DC94C" w14:textId="77777777" w:rsidR="00854550" w:rsidRPr="00854550" w:rsidRDefault="00854550" w:rsidP="00854550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gủi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vượt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trò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9C05782" w14:textId="77777777" w:rsidR="00854550" w:rsidRPr="00854550" w:rsidRDefault="00854550" w:rsidP="00854550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vâng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dạy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bảo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theo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hướng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32E9C31C" w14:textId="77777777" w:rsidR="00854550" w:rsidRPr="00854550" w:rsidRDefault="00854550" w:rsidP="00854550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 xml:space="preserve">   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lầm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bảo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khẩn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sửa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vi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CEEDB71" w14:textId="77777777" w:rsidR="00854550" w:rsidRPr="00854550" w:rsidRDefault="00854550" w:rsidP="00854550">
      <w:pPr>
        <w:numPr>
          <w:ilvl w:val="0"/>
          <w:numId w:val="2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Trường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oan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gặp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phép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huynh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tốt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đẹp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giữa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26568D4" w14:textId="77777777" w:rsidR="00854550" w:rsidRPr="00854550" w:rsidRDefault="00854550" w:rsidP="00854550">
      <w:pPr>
        <w:numPr>
          <w:ilvl w:val="0"/>
          <w:numId w:val="2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nghiêm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miễn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cưỡng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7733A47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3.2.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</w:p>
    <w:p w14:paraId="6A8F5E2E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bao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gồm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lãnh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quyền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tổ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bậc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huynh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mếm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</w:p>
    <w:p w14:paraId="191CF7E0" w14:textId="77777777" w:rsidR="00854550" w:rsidRPr="00854550" w:rsidRDefault="00854550" w:rsidP="00854550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phép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gặp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niềm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75E0985" w14:textId="77777777" w:rsidR="00854550" w:rsidRPr="00854550" w:rsidRDefault="00854550" w:rsidP="00854550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nhìn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soi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cợt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3D9FEF2F" w14:textId="77777777" w:rsidR="00854550" w:rsidRPr="00854550" w:rsidRDefault="00854550" w:rsidP="00854550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ngắm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nghía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soạng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3BA7BCEF" w14:textId="77777777" w:rsidR="00854550" w:rsidRPr="00854550" w:rsidRDefault="00854550" w:rsidP="00854550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thăm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liên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nghiêm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đựơc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D07F504" w14:textId="77777777" w:rsidR="00854550" w:rsidRPr="00854550" w:rsidRDefault="00854550" w:rsidP="00854550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Trong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đổi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ngoài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im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lặng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54F6C47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c.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em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dưới</w:t>
      </w:r>
      <w:proofErr w:type="spellEnd"/>
      <w:r w:rsidRPr="0085455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</w:p>
    <w:p w14:paraId="72F9A0C1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</w:p>
    <w:p w14:paraId="6D98F875" w14:textId="77777777" w:rsidR="00854550" w:rsidRPr="00854550" w:rsidRDefault="00854550" w:rsidP="00854550">
      <w:pPr>
        <w:numPr>
          <w:ilvl w:val="0"/>
          <w:numId w:val="5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như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ỷ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ỷ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hỗn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0809385" w14:textId="77777777" w:rsidR="00854550" w:rsidRPr="00854550" w:rsidRDefault="00854550" w:rsidP="00854550">
      <w:pPr>
        <w:numPr>
          <w:ilvl w:val="0"/>
          <w:numId w:val="5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chuyện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ý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gọi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anh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ảnh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hưởng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nền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7FA82842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ind w:left="417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lứa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dưới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:</w:t>
      </w:r>
      <w:proofErr w:type="gramEnd"/>
    </w:p>
    <w:p w14:paraId="711D6F19" w14:textId="77777777" w:rsidR="00854550" w:rsidRPr="00854550" w:rsidRDefault="00854550" w:rsidP="00854550">
      <w:pPr>
        <w:numPr>
          <w:ilvl w:val="0"/>
          <w:numId w:val="6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Luôn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nhặn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đoàn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vi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thuẫn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113C0D7E" w14:textId="77777777" w:rsidR="00854550" w:rsidRPr="00854550" w:rsidRDefault="00854550" w:rsidP="00854550">
      <w:pPr>
        <w:numPr>
          <w:ilvl w:val="0"/>
          <w:numId w:val="6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chia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quyết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cuộc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tập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47DE548B" w14:textId="77777777" w:rsidR="00854550" w:rsidRPr="00854550" w:rsidRDefault="00854550" w:rsidP="00854550">
      <w:pPr>
        <w:numPr>
          <w:ilvl w:val="0"/>
          <w:numId w:val="6"/>
        </w:num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chia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bè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lập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băng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nhóm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hiềm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khích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tập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375E340F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4.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thông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dụng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trong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33FFFBF1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4.1.    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hỏi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7E7113E1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53149BF1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Cúi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đầu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phép:Thưa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(.)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tuỳ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theo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xưng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hô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“ạ”</w:t>
      </w:r>
    </w:p>
    <w:p w14:paraId="58AF5A78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-         Trường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nắm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chặt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buông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lỏng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mang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chiếu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lệ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tưởng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A2E9957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nguời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dưới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48BD8016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: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(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–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em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)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mỉm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chào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“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khoẻ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”.</w:t>
      </w:r>
    </w:p>
    <w:p w14:paraId="28E7B1E5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vỗ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Trường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nữ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chờ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những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suồng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BA0793A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4.2. Nói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nhận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36579A83" w14:textId="77777777" w:rsidR="00854550" w:rsidRPr="00854550" w:rsidRDefault="00854550" w:rsidP="00854550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Trường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hợp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lỗĩ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59CF5168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-        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thiệt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vật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dù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0172D701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       - 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đừng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việc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chịu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còn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hóa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DAEFB22" w14:textId="77777777" w:rsidR="00854550" w:rsidRPr="00854550" w:rsidRDefault="00854550" w:rsidP="00854550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Nhận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2CE522EB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-        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lớn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“ạ!”</w:t>
      </w:r>
    </w:p>
    <w:p w14:paraId="6D794EFF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Tránh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im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lặng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dấu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qua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quay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đi.Làm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toả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xin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gây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hiềm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khích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61D888FA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4.3.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Yêu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cầu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4B0BDC7A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Yêu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2115FF40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nhặn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63EE064D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</w:t>
      </w: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  “</w:t>
      </w:r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Xin …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lòng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…”</w:t>
      </w:r>
    </w:p>
    <w:p w14:paraId="3D749FD3" w14:textId="77777777" w:rsidR="00854550" w:rsidRPr="00854550" w:rsidRDefault="00854550" w:rsidP="0085455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   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..</w:t>
      </w:r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?</w:t>
      </w:r>
    </w:p>
    <w:p w14:paraId="3E24320D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-      </w:t>
      </w: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   “</w:t>
      </w:r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Xin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lỗi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…”</w:t>
      </w:r>
    </w:p>
    <w:p w14:paraId="0DA0F2BE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Sau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728D2A94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“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cám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nụ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tắn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biết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CA75B84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4.4.      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nghị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trả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cám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2B6E9239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4BEC622F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lastRenderedPageBreak/>
        <w:t xml:space="preserve">-         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thấy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nặng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xe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dốc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hay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đớn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dìu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dắt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… ta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đề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đỡ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họ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thực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hiện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vẽ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467F77DF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“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…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tay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?”  </w:t>
      </w:r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,“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Tôi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giúp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…?”</w:t>
      </w:r>
    </w:p>
    <w:p w14:paraId="232674D7" w14:textId="77777777" w:rsidR="00854550" w:rsidRPr="00854550" w:rsidRDefault="00854550" w:rsidP="00854550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</w:t>
      </w:r>
    </w:p>
    <w:p w14:paraId="155D12E2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Khi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được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khác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tỏ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sự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ơn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bằng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thái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độ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vui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vẻ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cởi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cùng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: “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”;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nếu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tượng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hãy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thêm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“ạ”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cuối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hoặc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từ”dạ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” ở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câu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nói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2EAA131D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III. KẾT LUẬN</w:t>
      </w:r>
    </w:p>
    <w:p w14:paraId="4DABFD0D" w14:textId="77777777" w:rsidR="00854550" w:rsidRPr="00854550" w:rsidRDefault="00854550" w:rsidP="00854550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Trong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cuộc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sống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hang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nhiều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tình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huống,có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lúc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dễ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dàng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lí,có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lúc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tạp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xử.Xã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hội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văn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thì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cầu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giao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ngày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càng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cao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.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xử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một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khéo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,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nhị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chính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bước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đệm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quan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trọng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tới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proofErr w:type="gram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công.Học</w:t>
      </w:r>
      <w:proofErr w:type="spellEnd"/>
      <w:proofErr w:type="gram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sinh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trên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ghế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trường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không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chỉ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tiếp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kiến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mà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còn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phải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trau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rồi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cả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nhân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cách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con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có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đủ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đức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và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tài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để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xứng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trở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thành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người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chủ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tương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lai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của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đất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 xml:space="preserve"> </w:t>
      </w:r>
      <w:proofErr w:type="spellStart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nước</w:t>
      </w:r>
      <w:proofErr w:type="spellEnd"/>
      <w:r w:rsidRPr="008545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.</w:t>
      </w:r>
    </w:p>
    <w:p w14:paraId="5A17BA6E" w14:textId="6C5C005E" w:rsidR="00854550" w:rsidRPr="00854550" w:rsidRDefault="00CC6BD4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ab/>
      </w:r>
      <w:proofErr w:type="spellStart"/>
      <w:r w:rsidRPr="00CC6BD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  <w:t>Tổ</w:t>
      </w:r>
      <w:proofErr w:type="spellEnd"/>
      <w:r w:rsidRPr="00CC6BD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shd w:val="clear" w:color="auto" w:fill="FFFFFF"/>
          <w:lang w:eastAsia="vi-VN"/>
          <w14:ligatures w14:val="none"/>
        </w:rPr>
        <w:t xml:space="preserve"> tham vấn</w:t>
      </w:r>
    </w:p>
    <w:p w14:paraId="5B57FE94" w14:textId="77777777" w:rsid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46A1A326" w14:textId="77777777" w:rsidR="00A0174B" w:rsidRDefault="00A0174B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1ABDEEDB" w14:textId="77777777" w:rsidR="00A0174B" w:rsidRPr="00854550" w:rsidRDefault="00A0174B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59CE4DD4" w14:textId="77777777" w:rsidR="00854550" w:rsidRP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5A8CA497" w14:textId="77777777" w:rsidR="00854550" w:rsidRP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6093283E" w14:textId="77777777" w:rsidR="00854550" w:rsidRP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087BC83D" w14:textId="77777777" w:rsidR="00854550" w:rsidRP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0FBD8D5A" w14:textId="77777777" w:rsidR="00854550" w:rsidRPr="00854550" w:rsidRDefault="00854550" w:rsidP="00854550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GB" w:eastAsia="vi-VN"/>
          <w14:ligatures w14:val="none"/>
        </w:rPr>
      </w:pPr>
    </w:p>
    <w:p w14:paraId="16CEA2DE" w14:textId="77777777" w:rsidR="00481BDE" w:rsidRPr="00854550" w:rsidRDefault="00481BDE">
      <w:pPr>
        <w:rPr>
          <w:lang w:val="en-GB"/>
        </w:rPr>
      </w:pPr>
    </w:p>
    <w:sectPr w:rsidR="00481BDE" w:rsidRPr="008545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A40D" w14:textId="77777777" w:rsidR="00CC6BD4" w:rsidRDefault="00CC6BD4" w:rsidP="00CC6BD4">
      <w:pPr>
        <w:spacing w:after="0" w:line="240" w:lineRule="auto"/>
      </w:pPr>
      <w:r>
        <w:separator/>
      </w:r>
    </w:p>
  </w:endnote>
  <w:endnote w:type="continuationSeparator" w:id="0">
    <w:p w14:paraId="441A46F7" w14:textId="77777777" w:rsidR="00CC6BD4" w:rsidRDefault="00CC6BD4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7D0D" w14:textId="77777777" w:rsidR="00CC6BD4" w:rsidRDefault="00CC6BD4" w:rsidP="00CC6BD4">
      <w:pPr>
        <w:spacing w:after="0" w:line="240" w:lineRule="auto"/>
      </w:pPr>
      <w:r>
        <w:separator/>
      </w:r>
    </w:p>
  </w:footnote>
  <w:footnote w:type="continuationSeparator" w:id="0">
    <w:p w14:paraId="5B10CEC7" w14:textId="77777777" w:rsidR="00CC6BD4" w:rsidRDefault="00CC6BD4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A1EB" w14:textId="3CCB2989" w:rsidR="00CC6BD4" w:rsidRPr="00CC6BD4" w:rsidRDefault="00CC6BD4">
    <w:pPr>
      <w:pStyle w:val="Header"/>
      <w:rPr>
        <w:rFonts w:asciiTheme="majorHAnsi" w:hAnsiTheme="majorHAnsi" w:cstheme="majorHAnsi"/>
        <w:i/>
        <w:iCs/>
        <w:color w:val="FF0000"/>
      </w:rPr>
    </w:pPr>
    <w:r w:rsidRPr="00CC6BD4">
      <w:rPr>
        <w:rFonts w:asciiTheme="majorHAnsi" w:hAnsiTheme="majorHAnsi" w:cstheme="majorHAnsi"/>
        <w:i/>
        <w:iCs/>
        <w:color w:val="FF0000"/>
      </w:rPr>
      <w:t xml:space="preserve">Trường </w:t>
    </w:r>
    <w:r>
      <w:rPr>
        <w:rFonts w:asciiTheme="majorHAnsi" w:hAnsiTheme="majorHAnsi" w:cstheme="majorHAnsi"/>
        <w:i/>
        <w:iCs/>
        <w:color w:val="FF0000"/>
      </w:rPr>
      <w:t>THCS</w:t>
    </w:r>
    <w:r w:rsidRPr="00CC6BD4">
      <w:rPr>
        <w:rFonts w:asciiTheme="majorHAnsi" w:hAnsiTheme="majorHAnsi" w:cstheme="majorHAnsi"/>
        <w:i/>
        <w:iCs/>
        <w:color w:val="FF0000"/>
      </w:rPr>
      <w:t xml:space="preserve"> Trần Quang Khải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7EB"/>
    <w:multiLevelType w:val="multilevel"/>
    <w:tmpl w:val="00B0963E"/>
    <w:lvl w:ilvl="0">
      <w:start w:val="1"/>
      <w:numFmt w:val="decimal"/>
      <w:lvlText w:val="%1."/>
      <w:lvlJc w:val="left"/>
      <w:pPr>
        <w:ind w:left="495" w:hanging="495"/>
      </w:pPr>
      <w:rPr>
        <w:i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i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i/>
      </w:rPr>
    </w:lvl>
  </w:abstractNum>
  <w:abstractNum w:abstractNumId="1" w15:restartNumberingAfterBreak="0">
    <w:nsid w:val="0DAA6518"/>
    <w:multiLevelType w:val="hybridMultilevel"/>
    <w:tmpl w:val="07083150"/>
    <w:lvl w:ilvl="0" w:tplc="0809000B">
      <w:start w:val="1"/>
      <w:numFmt w:val="bullet"/>
      <w:lvlText w:val=""/>
      <w:lvlJc w:val="left"/>
      <w:pPr>
        <w:ind w:left="120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1C703766"/>
    <w:multiLevelType w:val="hybridMultilevel"/>
    <w:tmpl w:val="FDA66B36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DEC2AFC"/>
    <w:multiLevelType w:val="hybridMultilevel"/>
    <w:tmpl w:val="8E76B124"/>
    <w:lvl w:ilvl="0" w:tplc="0809000B">
      <w:start w:val="1"/>
      <w:numFmt w:val="bullet"/>
      <w:lvlText w:val=""/>
      <w:lvlJc w:val="left"/>
      <w:pPr>
        <w:ind w:left="127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" w15:restartNumberingAfterBreak="0">
    <w:nsid w:val="34642B5F"/>
    <w:multiLevelType w:val="hybridMultilevel"/>
    <w:tmpl w:val="EBF816B6"/>
    <w:lvl w:ilvl="0" w:tplc="08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5C67087"/>
    <w:multiLevelType w:val="hybridMultilevel"/>
    <w:tmpl w:val="48BCC8D4"/>
    <w:lvl w:ilvl="0" w:tplc="0809000B">
      <w:start w:val="1"/>
      <w:numFmt w:val="bullet"/>
      <w:lvlText w:val=""/>
      <w:lvlJc w:val="left"/>
      <w:pPr>
        <w:ind w:left="127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num w:numId="1" w16cid:durableId="1346975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6187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93847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80241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942108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455508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50"/>
    <w:rsid w:val="00481BDE"/>
    <w:rsid w:val="00854550"/>
    <w:rsid w:val="00A0174B"/>
    <w:rsid w:val="00C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385AD"/>
  <w15:chartTrackingRefBased/>
  <w15:docId w15:val="{65E1BB0F-E927-4565-8A13-E808C0EB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D4"/>
  </w:style>
  <w:style w:type="paragraph" w:styleId="Footer">
    <w:name w:val="footer"/>
    <w:basedOn w:val="Normal"/>
    <w:link w:val="FooterChar"/>
    <w:uiPriority w:val="99"/>
    <w:unhideWhenUsed/>
    <w:rsid w:val="00CC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139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Dương</dc:creator>
  <cp:keywords/>
  <dc:description/>
  <cp:lastModifiedBy>Nhung Dương</cp:lastModifiedBy>
  <cp:revision>2</cp:revision>
  <dcterms:created xsi:type="dcterms:W3CDTF">2023-11-21T08:17:00Z</dcterms:created>
  <dcterms:modified xsi:type="dcterms:W3CDTF">2023-11-21T08:30:00Z</dcterms:modified>
</cp:coreProperties>
</file>