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D011" w14:textId="77777777" w:rsidR="00ED7B7B" w:rsidRPr="00ED7B7B" w:rsidRDefault="00ED7B7B" w:rsidP="00ED7B7B">
      <w:pPr>
        <w:spacing w:after="240" w:line="240" w:lineRule="auto"/>
        <w:jc w:val="center"/>
        <w:outlineLvl w:val="0"/>
        <w:rPr>
          <w:rFonts w:ascii="Times New Roman" w:eastAsia="Times New Roman" w:hAnsi="Times New Roman" w:cs="Times New Roman"/>
          <w:b/>
          <w:bCs/>
          <w:kern w:val="36"/>
          <w:sz w:val="36"/>
          <w:szCs w:val="36"/>
          <w:lang w:eastAsia="vi-VN"/>
        </w:rPr>
      </w:pPr>
      <w:r w:rsidRPr="00ED7B7B">
        <w:rPr>
          <w:rFonts w:ascii="Times New Roman" w:eastAsia="Times New Roman" w:hAnsi="Times New Roman" w:cs="Times New Roman"/>
          <w:b/>
          <w:bCs/>
          <w:kern w:val="36"/>
          <w:sz w:val="36"/>
          <w:szCs w:val="36"/>
          <w:lang w:eastAsia="vi-VN"/>
        </w:rPr>
        <w:t>Thông tư 03/2021/TT-BGDĐT bổ nhiệm, xếp lương giáo viên THCS công lập</w:t>
      </w:r>
    </w:p>
    <w:p w14:paraId="7CACC8AB" w14:textId="352B1536" w:rsidR="00ED7B7B" w:rsidRPr="00ED7B7B" w:rsidRDefault="00ED7B7B" w:rsidP="00ED7B7B">
      <w:pPr>
        <w:spacing w:line="240" w:lineRule="auto"/>
        <w:rPr>
          <w:rFonts w:ascii="Arial" w:eastAsia="Times New Roman" w:hAnsi="Arial" w:cs="Arial"/>
          <w:b/>
          <w:bCs/>
          <w:color w:val="D81D22"/>
          <w:sz w:val="18"/>
          <w:szCs w:val="18"/>
          <w:lang w:eastAsia="vi-VN"/>
        </w:rPr>
      </w:pPr>
    </w:p>
    <w:tbl>
      <w:tblPr>
        <w:tblW w:w="4850" w:type="pct"/>
        <w:jc w:val="center"/>
        <w:tblCellMar>
          <w:left w:w="0" w:type="dxa"/>
          <w:right w:w="0" w:type="dxa"/>
        </w:tblCellMar>
        <w:tblLook w:val="04A0" w:firstRow="1" w:lastRow="0" w:firstColumn="1" w:lastColumn="0" w:noHBand="0" w:noVBand="1"/>
      </w:tblPr>
      <w:tblGrid>
        <w:gridCol w:w="3388"/>
        <w:gridCol w:w="5367"/>
      </w:tblGrid>
      <w:tr w:rsidR="00ED7B7B" w:rsidRPr="00ED7B7B" w14:paraId="3F93FC4C" w14:textId="77777777" w:rsidTr="00ED7B7B">
        <w:trPr>
          <w:trHeight w:val="765"/>
          <w:jc w:val="center"/>
        </w:trPr>
        <w:tc>
          <w:tcPr>
            <w:tcW w:w="4728" w:type="dxa"/>
            <w:tcMar>
              <w:top w:w="0" w:type="dxa"/>
              <w:left w:w="108" w:type="dxa"/>
              <w:bottom w:w="0" w:type="dxa"/>
              <w:right w:w="108" w:type="dxa"/>
            </w:tcMar>
            <w:hideMark/>
          </w:tcPr>
          <w:p w14:paraId="0B9B55E4"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Arial" w:eastAsia="Times New Roman" w:hAnsi="Arial" w:cs="Arial"/>
                <w:b/>
                <w:bCs/>
                <w:spacing w:val="-6"/>
                <w:sz w:val="20"/>
                <w:szCs w:val="20"/>
                <w:lang w:eastAsia="vi-VN"/>
              </w:rPr>
              <w:t>BỘ GIÁO DỤC VÀ ĐÀO TẠO</w:t>
            </w:r>
          </w:p>
          <w:p w14:paraId="613AB26A"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Arial" w:eastAsia="Times New Roman" w:hAnsi="Arial" w:cs="Arial"/>
                <w:sz w:val="20"/>
                <w:szCs w:val="20"/>
                <w:vertAlign w:val="superscript"/>
                <w:lang w:eastAsia="vi-VN"/>
              </w:rPr>
              <w:t>________</w:t>
            </w:r>
          </w:p>
          <w:p w14:paraId="23DB7B41"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Arial" w:eastAsia="Times New Roman" w:hAnsi="Arial" w:cs="Arial"/>
                <w:sz w:val="20"/>
                <w:szCs w:val="20"/>
                <w:lang w:eastAsia="vi-VN"/>
              </w:rPr>
              <w:t>Số: 03/2021/TT-BGDĐT</w:t>
            </w:r>
          </w:p>
        </w:tc>
        <w:tc>
          <w:tcPr>
            <w:tcW w:w="7402" w:type="dxa"/>
            <w:tcMar>
              <w:top w:w="0" w:type="dxa"/>
              <w:left w:w="108" w:type="dxa"/>
              <w:bottom w:w="0" w:type="dxa"/>
              <w:right w:w="108" w:type="dxa"/>
            </w:tcMar>
            <w:hideMark/>
          </w:tcPr>
          <w:p w14:paraId="361431EC"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Arial" w:eastAsia="Times New Roman" w:hAnsi="Arial" w:cs="Arial"/>
                <w:b/>
                <w:bCs/>
                <w:sz w:val="20"/>
                <w:szCs w:val="20"/>
                <w:lang w:eastAsia="vi-VN"/>
              </w:rPr>
              <w:t>CỘNG HÒA XÃ HỘI CHỦ NGHĨA VIỆT NAM</w:t>
            </w:r>
          </w:p>
          <w:p w14:paraId="3FCC0540"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Arial" w:eastAsia="Times New Roman" w:hAnsi="Arial" w:cs="Arial"/>
                <w:b/>
                <w:bCs/>
                <w:sz w:val="20"/>
                <w:szCs w:val="20"/>
                <w:lang w:eastAsia="vi-VN"/>
              </w:rPr>
              <w:t>Độc lập - Tự do - Hạnh phúc</w:t>
            </w:r>
          </w:p>
          <w:p w14:paraId="10F22BEA"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Arial" w:eastAsia="Times New Roman" w:hAnsi="Arial" w:cs="Arial"/>
                <w:sz w:val="20"/>
                <w:szCs w:val="20"/>
                <w:vertAlign w:val="superscript"/>
                <w:lang w:eastAsia="vi-VN"/>
              </w:rPr>
              <w:t>________________________</w:t>
            </w:r>
          </w:p>
          <w:p w14:paraId="358B644F" w14:textId="77777777" w:rsidR="00ED7B7B" w:rsidRPr="00ED7B7B" w:rsidRDefault="00ED7B7B" w:rsidP="00ED7B7B">
            <w:pPr>
              <w:spacing w:before="180" w:after="180" w:line="240" w:lineRule="auto"/>
              <w:jc w:val="right"/>
              <w:rPr>
                <w:rFonts w:ascii="Times New Roman" w:eastAsia="Times New Roman" w:hAnsi="Times New Roman" w:cs="Times New Roman"/>
                <w:color w:val="222222"/>
                <w:sz w:val="26"/>
                <w:szCs w:val="26"/>
                <w:lang w:eastAsia="vi-VN"/>
              </w:rPr>
            </w:pPr>
            <w:r w:rsidRPr="00ED7B7B">
              <w:rPr>
                <w:rFonts w:ascii="Arial" w:eastAsia="Times New Roman" w:hAnsi="Arial" w:cs="Arial"/>
                <w:i/>
                <w:iCs/>
                <w:sz w:val="20"/>
                <w:szCs w:val="20"/>
                <w:lang w:eastAsia="vi-VN"/>
              </w:rPr>
              <w:t>Hà Nội, ngày 02 tháng 02 năm 2021</w:t>
            </w:r>
          </w:p>
        </w:tc>
      </w:tr>
    </w:tbl>
    <w:p w14:paraId="0290ABFF" w14:textId="0D262792" w:rsidR="00ED7B7B" w:rsidRPr="00ED7B7B" w:rsidRDefault="00ED7B7B" w:rsidP="00ED7B7B">
      <w:pPr>
        <w:spacing w:after="0" w:line="240" w:lineRule="auto"/>
        <w:rPr>
          <w:rFonts w:ascii="Arial" w:eastAsia="Times New Roman" w:hAnsi="Arial" w:cs="Arial"/>
          <w:color w:val="2E2E2E"/>
          <w:sz w:val="26"/>
          <w:szCs w:val="26"/>
          <w:lang w:eastAsia="vi-VN"/>
        </w:rPr>
      </w:pPr>
      <w:r w:rsidRPr="00ED7B7B">
        <w:rPr>
          <w:rFonts w:ascii="Arial" w:eastAsia="Times New Roman" w:hAnsi="Arial" w:cs="Arial"/>
          <w:color w:val="222222"/>
          <w:sz w:val="26"/>
          <w:szCs w:val="26"/>
          <w:lang w:eastAsia="vi-VN"/>
        </w:rPr>
        <w:t> </w:t>
      </w:r>
    </w:p>
    <w:p w14:paraId="0322FEC7"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THÔNG TƯ</w:t>
      </w:r>
    </w:p>
    <w:p w14:paraId="7094C10E"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Quy định mã số, tiêu chuẩn chức danh nghề nghiệp và bổ nhiệm, xếp lương viên chức giảng dạy trong các trường trung học cơ sở công lập</w:t>
      </w:r>
    </w:p>
    <w:p w14:paraId="15BF1FBC"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0"/>
          <w:szCs w:val="20"/>
          <w:vertAlign w:val="superscript"/>
          <w:lang w:eastAsia="vi-VN"/>
        </w:rPr>
        <w:t>_________</w:t>
      </w:r>
    </w:p>
    <w:p w14:paraId="60311FA0"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p w14:paraId="57971D08"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i/>
          <w:iCs/>
          <w:color w:val="222222"/>
          <w:sz w:val="20"/>
          <w:szCs w:val="20"/>
          <w:lang w:eastAsia="vi-VN"/>
        </w:rPr>
        <w:t>Căn cứ Luật Giáo dục ngày 14 tháng 6 năm 2019;</w:t>
      </w:r>
    </w:p>
    <w:p w14:paraId="5B41A8E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i/>
          <w:iCs/>
          <w:color w:val="222222"/>
          <w:sz w:val="20"/>
          <w:szCs w:val="20"/>
          <w:lang w:eastAsia="vi-VN"/>
        </w:rPr>
        <w:t>Căn cứ Luật Viên chức ngày 15 tháng 11 năm 2010; Luật sửa đổi, bổ sung một số điều của Luật Cán bộ, công chức và Luật Viên chức ngày 25 tháng 11 năm 2019;</w:t>
      </w:r>
    </w:p>
    <w:p w14:paraId="00FA70F5"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i/>
          <w:iCs/>
          <w:color w:val="222222"/>
          <w:sz w:val="20"/>
          <w:szCs w:val="20"/>
          <w:lang w:eastAsia="vi-VN"/>
        </w:rPr>
        <w:t>Căn cứ Nghị định số 69/2017/NĐ-CP ngày 25 tháng 5 năm 2017</w:t>
      </w:r>
      <w:r w:rsidRPr="00ED7B7B">
        <w:rPr>
          <w:rFonts w:ascii="Arial" w:eastAsia="Times New Roman" w:hAnsi="Arial" w:cs="Arial"/>
          <w:color w:val="222222"/>
          <w:sz w:val="20"/>
          <w:szCs w:val="20"/>
          <w:lang w:eastAsia="vi-VN"/>
        </w:rPr>
        <w:t> </w:t>
      </w:r>
      <w:r w:rsidRPr="00ED7B7B">
        <w:rPr>
          <w:rFonts w:ascii="Arial" w:eastAsia="Times New Roman" w:hAnsi="Arial" w:cs="Arial"/>
          <w:i/>
          <w:iCs/>
          <w:color w:val="222222"/>
          <w:sz w:val="26"/>
          <w:szCs w:val="26"/>
          <w:lang w:eastAsia="vi-VN"/>
        </w:rPr>
        <w:t>của Chính phủ quy định chức năng, nhiệm vụ, quyền hạn và cơ cấu tổ chức của Bộ Giáo dục và Đào tạo;</w:t>
      </w:r>
    </w:p>
    <w:p w14:paraId="22CC06D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i/>
          <w:iCs/>
          <w:color w:val="222222"/>
          <w:sz w:val="20"/>
          <w:szCs w:val="20"/>
          <w:lang w:eastAsia="vi-VN"/>
        </w:rPr>
        <w:t>Căn cứ Nghị định số 115/2020/NĐ-CP ngày 25 tháng 9 năm 2020 của Chính phủ quy định về tuyển dụng, sử dụng và quản lý viên chức;</w:t>
      </w:r>
    </w:p>
    <w:p w14:paraId="082F943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i/>
          <w:iCs/>
          <w:color w:val="222222"/>
          <w:sz w:val="20"/>
          <w:szCs w:val="20"/>
          <w:lang w:eastAsia="vi-VN"/>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14:paraId="2456D299"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i/>
          <w:iCs/>
          <w:color w:val="222222"/>
          <w:sz w:val="20"/>
          <w:szCs w:val="20"/>
          <w:lang w:eastAsia="vi-VN"/>
        </w:rPr>
        <w:t>Theo đề nghị của Cục trưởng Cục Nhà giáo và Cán bộ quản lý giáo dục;</w:t>
      </w:r>
    </w:p>
    <w:p w14:paraId="31D9FF07" w14:textId="77777777" w:rsidR="00ED7B7B" w:rsidRPr="00ED7B7B" w:rsidRDefault="00ED7B7B" w:rsidP="00ED7B7B">
      <w:pPr>
        <w:spacing w:before="180" w:after="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i/>
          <w:iCs/>
          <w:color w:val="222222"/>
          <w:sz w:val="20"/>
          <w:szCs w:val="20"/>
          <w:lang w:eastAsia="vi-VN"/>
        </w:rPr>
        <w:t>Bộ trưởng Bộ Giáo dục và Đào tạo ban hành Thông tư quy định mã số, tiêu chuẩn chức danh nghề nghiệp và bổ nhiệm, xếp lương viên chức giảng dạy trong các trường trung học cơ sở công lập.</w:t>
      </w:r>
    </w:p>
    <w:p w14:paraId="13197DA9"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p w14:paraId="53F66A83"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Chương I. NHỮNG QUY ĐỊNH CHUNG</w:t>
      </w:r>
    </w:p>
    <w:p w14:paraId="2F6108EF"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p w14:paraId="38A072D2"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1. Phạm vi điều chỉnh và đối tượng áp dụng</w:t>
      </w:r>
    </w:p>
    <w:p w14:paraId="7E61AC64"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1. Thông tư này quy định mã số, tiêu chuẩn chức danh nghề nghiệp và bổ nhiệm, xếp lương viên chức giảng dạy trong các trường trung học cơ sở công lập.</w:t>
      </w:r>
    </w:p>
    <w:p w14:paraId="041F6AD3"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 xml:space="preserve">2. Thông tư này áp dụng đối với viên chức giảng dạy chương trình giáo dục trung học cơ sở, bao gồm: giáo viên, hiệu trưởng, phó hiệu trưởng, giám đốc, phó giám đốc (sau đây gọi chung là giáo viên trung học cơ sở) trong các trường trung học cơ sở, trường phổ thông có nhiều cấp học có cấp </w:t>
      </w:r>
      <w:r w:rsidRPr="00ED7B7B">
        <w:rPr>
          <w:rFonts w:ascii="Arial" w:eastAsia="Times New Roman" w:hAnsi="Arial" w:cs="Arial"/>
          <w:color w:val="222222"/>
          <w:sz w:val="20"/>
          <w:szCs w:val="20"/>
          <w:lang w:eastAsia="vi-VN"/>
        </w:rPr>
        <w:lastRenderedPageBreak/>
        <w:t>trung học cơ sở, trung tâm giáo dục thường xuyên, trung tâm giáo dục nghề nghiệp - giáo dục thường xuyên, trường chuyên biệt công lập (sau đây gọi chung là trường trung học cơ sở công lập) và các tổ chức, cá nhân khác có liên quan.</w:t>
      </w:r>
    </w:p>
    <w:p w14:paraId="4451C2B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shd w:val="clear" w:color="auto" w:fill="FFFFFF"/>
          <w:lang w:eastAsia="vi-VN"/>
        </w:rPr>
        <w:t>3.</w:t>
      </w:r>
      <w:r w:rsidRPr="00ED7B7B">
        <w:rPr>
          <w:rFonts w:ascii="Arial" w:eastAsia="Times New Roman" w:hAnsi="Arial" w:cs="Arial"/>
          <w:color w:val="222222"/>
          <w:sz w:val="20"/>
          <w:szCs w:val="20"/>
          <w:lang w:eastAsia="vi-VN"/>
        </w:rPr>
        <w:t> Các trường trung học cơ sở tư thục có thể vận dụng quy định tại Thông tư này để tuyển dụng, sử dụng và quản lý giáo viên.</w:t>
      </w:r>
    </w:p>
    <w:p w14:paraId="0FA8E5AB"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2. Mã số, hạng chức danh nghề nghiệp giáo viên trung học cơ sở</w:t>
      </w:r>
    </w:p>
    <w:p w14:paraId="5D7F812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Chức danh nghề nghiệp giáo viên trung học cơ sở bao gồm:</w:t>
      </w:r>
    </w:p>
    <w:p w14:paraId="7F8A7933"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1. Giáo viên trung học cơ sở hạng III - Mã số V.07.04.32.</w:t>
      </w:r>
    </w:p>
    <w:p w14:paraId="7E58970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Giáo viên trung học cơ sở hạng II - Mã số V.07.04.31.</w:t>
      </w:r>
    </w:p>
    <w:p w14:paraId="27A6F157" w14:textId="77777777" w:rsidR="00ED7B7B" w:rsidRPr="00ED7B7B" w:rsidRDefault="00ED7B7B" w:rsidP="00ED7B7B">
      <w:pPr>
        <w:spacing w:before="180" w:after="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3. Giáo viên trung học cơ sở hạng I - Mã số V.07.04.30.</w:t>
      </w:r>
    </w:p>
    <w:p w14:paraId="4A854B94"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p w14:paraId="76B156B6"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Chương II. TIÊU CHUẨN CHỨC DANH NGHỀ NGHIỆP</w:t>
      </w:r>
    </w:p>
    <w:p w14:paraId="0C587E2E"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p w14:paraId="39ED5A24"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3. Giáo viên trung học cơ sở hạng III - Mã số V.07.04.32</w:t>
      </w:r>
    </w:p>
    <w:p w14:paraId="61A7F01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1. Nhiệm vụ</w:t>
      </w:r>
    </w:p>
    <w:p w14:paraId="02B29A78"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Xây dựng kế hoạch giáo dục của môn học được phân công và tham gia xây dựng kế hoạch giáo dục của tổ chuyên môn theo mục tiêu, chương trình giáo dục cấp trung học cơ sở;</w:t>
      </w:r>
    </w:p>
    <w:p w14:paraId="18DCA79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Dạy học và giáo dục học sinh theo chương trình, kế hoạch giáo dục của nhà trường và tổ chuyên môn; quản lý học sinh trong các hoạt động giáo dục do nhà trường tổ chức;</w:t>
      </w:r>
    </w:p>
    <w:p w14:paraId="641615F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Sử dụng các phương pháp dạy học, giáo dục theo hướng phát huy năng lực, phẩm chất của học sinh, tích cực hóa hoạt động của học sinh;</w:t>
      </w:r>
    </w:p>
    <w:p w14:paraId="3E55617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d) Thực hiện các hoạt động kiểm tra, đánh giá kết quả học tập, rèn luyện của học sinh theo quy định;</w:t>
      </w:r>
    </w:p>
    <w:p w14:paraId="6C8A2AE3"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đ) Tham gia phát hiện, bồi dưỡng học sinh năng khiếu hoặc phụ đạo học sinh yếu kém hoặc hướng dẫn sinh viên thực tập sư phạm (nếu có);</w:t>
      </w:r>
    </w:p>
    <w:p w14:paraId="0B9C39E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e) Tổ chức các hoạt động tư vấn tâm lý, hướng nghiệp cho học sinh và cha mẹ học sinh của lớp được phân công;</w:t>
      </w:r>
    </w:p>
    <w:p w14:paraId="036735DB"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g) Phối hợp với các tổ chức, cá nhân có liên quan để thực hiện các hoạt động dạy học, giáo dục, tư vấn tâm lý, hướng nghiệp cho học sinh;</w:t>
      </w:r>
    </w:p>
    <w:p w14:paraId="2989D698"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h) Tham gia các hoạt động của tổ chuyên môn; tham gia nghiên cứu khoa học; hoàn thành hệ thống hồ sơ quản lý hoạt động giáo dục theo quy định; thực hiện công tác phổ cập giáo dục trung học cơ sở và giáo dục hòa nhập trong phạm vi được phân công; tham gia tổ chức các hội thi (của giáo viên hoặc học sinh) từ cấp trường trở lên (nếu có);</w:t>
      </w:r>
    </w:p>
    <w:p w14:paraId="27FA5C5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i) Hoàn thành các khóa đào tạo, chương trình bồi dưỡng theo quy định; tự học, tự bồi dưỡng nâng cao năng lực chuyên môn, nghiệp vụ;</w:t>
      </w:r>
    </w:p>
    <w:p w14:paraId="4AB618C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k) Thực hiện các nhiệm vụ khác do hiệu trưởng phân công.</w:t>
      </w:r>
    </w:p>
    <w:p w14:paraId="46E15E9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Tiêu chuẩn về đạo đức nghề nghiệp</w:t>
      </w:r>
    </w:p>
    <w:p w14:paraId="4EF68798"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shd w:val="clear" w:color="auto" w:fill="FFFFFF"/>
          <w:lang w:eastAsia="vi-VN"/>
        </w:rPr>
        <w:t>a)</w:t>
      </w:r>
      <w:r w:rsidRPr="00ED7B7B">
        <w:rPr>
          <w:rFonts w:ascii="Arial" w:eastAsia="Times New Roman" w:hAnsi="Arial" w:cs="Arial"/>
          <w:color w:val="222222"/>
          <w:sz w:val="20"/>
          <w:szCs w:val="20"/>
          <w:lang w:eastAsia="vi-VN"/>
        </w:rPr>
        <w:t> Chấp hành các chủ trương, đường lối chính sách của Đảng, pháp luật của Nhà nước, các quy định của ngành và địa phương về giáo dục trung học cơ sở;</w:t>
      </w:r>
    </w:p>
    <w:p w14:paraId="62BCA9A9"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Thường xuyên trau dồi đạo đức, nêu cao tinh thần trách nhiệm, giữ gìn phẩm chất, danh dự, uy tín của nhà giáo; gương mẫu trước học sinh;</w:t>
      </w:r>
    </w:p>
    <w:p w14:paraId="7AC59142"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lastRenderedPageBreak/>
        <w:t>c) Thương yêu, đối xử công bằng và tôn trọng nhân cách của học sinh; bảo vệ các quyền và lợi ích chính đáng của học sinh; đoàn kết, giúp đỡ đồng nghiệp;</w:t>
      </w:r>
    </w:p>
    <w:p w14:paraId="08627B2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d) Thực hiện nghiêm túc các quy định về đạo đức nhà giáo; quy định về hành vi, ứng xử và trang phục.</w:t>
      </w:r>
    </w:p>
    <w:p w14:paraId="451B497B"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3. Tiêu chuẩn về trình độ đào tạo, bồi dưỡng</w:t>
      </w:r>
    </w:p>
    <w:p w14:paraId="42DEC402"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Có bằng cử nhân trở lên thuộc ngành đào tạo giáo viên đối với giáo viên trung học cơ sở.</w:t>
      </w:r>
    </w:p>
    <w:p w14:paraId="77124FC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 xml:space="preserve">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w:t>
      </w:r>
      <w:proofErr w:type="spellStart"/>
      <w:r w:rsidRPr="00ED7B7B">
        <w:rPr>
          <w:rFonts w:ascii="Arial" w:eastAsia="Times New Roman" w:hAnsi="Arial" w:cs="Arial"/>
          <w:color w:val="222222"/>
          <w:sz w:val="20"/>
          <w:szCs w:val="20"/>
          <w:lang w:eastAsia="vi-VN"/>
        </w:rPr>
        <w:t>trưỏng</w:t>
      </w:r>
      <w:proofErr w:type="spellEnd"/>
      <w:r w:rsidRPr="00ED7B7B">
        <w:rPr>
          <w:rFonts w:ascii="Arial" w:eastAsia="Times New Roman" w:hAnsi="Arial" w:cs="Arial"/>
          <w:color w:val="222222"/>
          <w:sz w:val="20"/>
          <w:szCs w:val="20"/>
          <w:lang w:eastAsia="vi-VN"/>
        </w:rPr>
        <w:t xml:space="preserve"> Bộ Giáo dục và Đào tạo ban hành;</w:t>
      </w:r>
    </w:p>
    <w:p w14:paraId="148B50F9"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Có chứng chỉ bồi dưỡng theo tiêu chuẩn chức danh nghề nghiệp giáo viên trung học cơ sở hạng III (đối với giáo viên trung học cơ sở mới được tuyển dụng vào giáo viên trung học cơ sở hạng III thì phải có chứng chỉ trong thời gian 36 tháng kể từ ngày được tuyển dụng).</w:t>
      </w:r>
    </w:p>
    <w:p w14:paraId="3FAE259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4. Tiêu chuẩn về năng lực chuyên môn, nghiệp vụ</w:t>
      </w:r>
    </w:p>
    <w:p w14:paraId="16E5EAF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Nắm được chủ trương, đường lối, chính sách, pháp luật của Đảng, Nhà nước, quy định và yêu cầu của ngành, địa phương về giáo dục trung học cơ sở và triển khai thực hiện vào nhiệm vụ được giao;</w:t>
      </w:r>
    </w:p>
    <w:p w14:paraId="0D7444B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Nắm vững kiến thức của môn học được phân công giảng dạy; có khả năng xây dựng được kế hoạch dạy học và giáo dục theo hướng phát triển phẩm chất, năng lực học sinh;</w:t>
      </w:r>
    </w:p>
    <w:p w14:paraId="407D471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Có khả năng áp dụng có hiệu quả các phương pháp dạy học và giáo dục phát triển phẩm chất, năng lực học sinh, tích cực hóa hoạt động của học sinh;</w:t>
      </w:r>
    </w:p>
    <w:p w14:paraId="211E48E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d) Sử dụng được các phương pháp kiểm tra, đánh giá kết quả học tập, rèn luyện và sự tiến bộ của học sinh theo hướng phát triển phẩm chất, năng lực học sinh;</w:t>
      </w:r>
    </w:p>
    <w:p w14:paraId="21DF9B30"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đ) Có khả năng tư vấn tâm lý, hướng nghiệp cho học sinh; lồng ghép các hoạt động tư vấn tâm lý, hướng nghiệp vào trong hoạt động dạy học và giáo dục;</w:t>
      </w:r>
    </w:p>
    <w:p w14:paraId="1A514F0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e) Xây dựng được mối quan hệ hợp tác với cha mẹ học sinh, các tổ chức, cá nhân có liên quan trong việc thực hiện các hoạt động dạy học, giáo dục học sinh;</w:t>
      </w:r>
    </w:p>
    <w:p w14:paraId="3C51FAD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g) Xây dựng và thực hiện kế hoạch học tập, bồi dưỡng phát triển chuyên môn, nghiệp vụ của bản thân;</w:t>
      </w:r>
    </w:p>
    <w:p w14:paraId="3011CE0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h) Có khả năng ứng dụng công nghệ thông tin trong thực hiện các nhiệm vụ của giáo viên trung học cơ sở hạng III và có khả năng sử dụng ngoại ngữ hoặc tiếng dân tộc thiểu số trong một số nhiệm vụ cụ thể được giao.</w:t>
      </w:r>
    </w:p>
    <w:p w14:paraId="36197893"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4. Giáo viên trung học cơ sở hạng II - Mã số V.07.04.31</w:t>
      </w:r>
    </w:p>
    <w:p w14:paraId="0A336251"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shd w:val="clear" w:color="auto" w:fill="FFFFFF"/>
          <w:lang w:eastAsia="vi-VN"/>
        </w:rPr>
        <w:t>1.</w:t>
      </w:r>
      <w:r w:rsidRPr="00ED7B7B">
        <w:rPr>
          <w:rFonts w:ascii="Arial" w:eastAsia="Times New Roman" w:hAnsi="Arial" w:cs="Arial"/>
          <w:color w:val="222222"/>
          <w:sz w:val="20"/>
          <w:szCs w:val="20"/>
          <w:lang w:eastAsia="vi-VN"/>
        </w:rPr>
        <w:t> Nhiệm vụ</w:t>
      </w:r>
    </w:p>
    <w:p w14:paraId="704F78C4"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Ngoài những nhiệm vụ của giáo viên trung học cơ sở hạng III, giáo viên trung học cơ sở hạng II phải thực hiện các nhiệm vụ sau:</w:t>
      </w:r>
    </w:p>
    <w:p w14:paraId="33D8F203"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Làm báo cáo viên hoặc dạy minh họa ở các lớp bồi dưỡng giáo viên hoặc dạy thử nghiệm các mô hình, phương pháp, công nghệ mới từ cấp trường trở lên; chủ trì các nội dung bồi dưỡng và sinh hoạt chuyên đề ở tổ chuyên môn hoặc tham gia xây dựng học liệu điện tử;</w:t>
      </w:r>
    </w:p>
    <w:p w14:paraId="24C92BD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Tham gia hướng dẫn hoặc đánh giá các sản phẩm nghiên cứu khoa học và công nghệ từ cấp trường trở lên;</w:t>
      </w:r>
    </w:p>
    <w:p w14:paraId="54A3AD4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Tham gia các hoạt động xã hội, phục vụ cộng đồng; thu hút sự tham gia của các tổ chức, cá nhân trong việc tổ chức các hoạt động dạy học, giáo dục học sinh;</w:t>
      </w:r>
    </w:p>
    <w:p w14:paraId="263B2BE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d) Tham gia đoàn đánh giá ngoài; hoặc công tác kiểm tra chuyên môn, nghiệp vụ cho giáo viên từ cấp trường trở lên;</w:t>
      </w:r>
    </w:p>
    <w:p w14:paraId="4710E03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lastRenderedPageBreak/>
        <w:t>đ) Tham gia ban giám khảo hoặc ban ra đề hoặc người hướng dẫn trong các hội thi (của giáo viên hoặc học sinh) từ cấp trường trở lên (nếu có).</w:t>
      </w:r>
    </w:p>
    <w:p w14:paraId="6D776664"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Tiêu chuẩn về đạo đức nghề nghiệp</w:t>
      </w:r>
    </w:p>
    <w:p w14:paraId="189FE931"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 xml:space="preserve">Ngoài các tiêu chuẩn về đạo đức nghề nghiệp của giáo viên trung học cơ sở hạng III, giáo viên trung học cơ sở hạng II phải luôn </w:t>
      </w:r>
      <w:proofErr w:type="spellStart"/>
      <w:r w:rsidRPr="00ED7B7B">
        <w:rPr>
          <w:rFonts w:ascii="Arial" w:eastAsia="Times New Roman" w:hAnsi="Arial" w:cs="Arial"/>
          <w:color w:val="222222"/>
          <w:sz w:val="20"/>
          <w:szCs w:val="20"/>
          <w:lang w:eastAsia="vi-VN"/>
        </w:rPr>
        <w:t>luôn</w:t>
      </w:r>
      <w:proofErr w:type="spellEnd"/>
      <w:r w:rsidRPr="00ED7B7B">
        <w:rPr>
          <w:rFonts w:ascii="Arial" w:eastAsia="Times New Roman" w:hAnsi="Arial" w:cs="Arial"/>
          <w:color w:val="222222"/>
          <w:sz w:val="20"/>
          <w:szCs w:val="20"/>
          <w:lang w:eastAsia="vi-VN"/>
        </w:rPr>
        <w:t xml:space="preserve"> gương mẫu thực hiện các quy định về đạo đức nhà giáo.</w:t>
      </w:r>
    </w:p>
    <w:p w14:paraId="49C1AEC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3. Tiêu chuẩn về trình độ đào tạo, bồi dưỡng</w:t>
      </w:r>
    </w:p>
    <w:p w14:paraId="265AE80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Có bằng cử nhân trở lên thuộc ngành đào tạo giáo viên đối với giáo viên trung học cơ sở.</w:t>
      </w:r>
    </w:p>
    <w:p w14:paraId="088519C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14:paraId="753BE0E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Có chứng chỉ bồi dưỡng theo tiêu chuẩn chức danh nghề nghiệp giáo viên trung học cơ sở hạng II.</w:t>
      </w:r>
    </w:p>
    <w:p w14:paraId="1530F649"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4. Tiêu chuẩn về năng lực chuyên môn, nghiệp vụ</w:t>
      </w:r>
    </w:p>
    <w:p w14:paraId="126510A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Nắm vững chủ trương, đường lối, chính sách, pháp luật của Đảng, Nhà nước, quy định và yêu cầu của ngành, địa phương về giáo dục trung học cơ sở và triển khai thực hiện có kết quả vào nhiệm vụ được giao;</w:t>
      </w:r>
    </w:p>
    <w:p w14:paraId="4A3DCBF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Có khả năng điều chỉnh linh hoạt kế hoạch dạy học và giáo dục phù hợp với điều kiện thực tế của nhà trường và địa phương; có khả năng xây dựng bài học theo chủ đề liên môn;</w:t>
      </w:r>
    </w:p>
    <w:p w14:paraId="3FC673A9"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Chủ động cập nhật và có khả năng vận dụng linh hoạt, hiệu quả các phương pháp, công nghệ dạy học và giáo dục đáp ứng mục tiêu chương trình giáo dục phổ thông, phù hợp với điều kiện thực tế của nhà trường và địa phương;</w:t>
      </w:r>
    </w:p>
    <w:p w14:paraId="3B4FE553"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d) Chủ động cập nhật và có khả năng vận dụng sáng tạo các hình thức, phương pháp kiểm tra, đánh giá kết quả học tập, rèn luyện và sự tiến bộ của học sinh theo hướng phát triển phẩm chất, năng lực học sinh;</w:t>
      </w:r>
    </w:p>
    <w:p w14:paraId="031D6D35"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đ) Có khả năng vận dụng có hiệu quả các biện pháp tư vấn tâm lý, hướng nghiệp phù hợp với từng đối tượng học sinh trong hoạt động dạy học và giáo dục;</w:t>
      </w:r>
    </w:p>
    <w:p w14:paraId="1AF34BB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e) Chủ động, tích cực tạo dựng mối quan hệ hợp tác lành mạnh, tin tưởng với cha mẹ học sinh, các tổ chức, cá nhân có liên quan trong việc thực hiện các hoạt động dạy học, giáo dục học sinh;</w:t>
      </w:r>
    </w:p>
    <w:p w14:paraId="02AD886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g) Chủ động nghiên cứu và có khả năng cập nhật kịp thời các yêu cầu mới về chuyên môn, nghiệp vụ; có khả năng vận dụng sáng tạo, phù hợp, có hiệu quả các hình thức nâng cao năng lực chuyên môn, nghiệp vụ của bản thân;</w:t>
      </w:r>
    </w:p>
    <w:p w14:paraId="56578441"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h) Có khả năng ứng dụng công nghệ thông tin trong thực hiện các nhiệm vụ của giáo viên trung học cơ sở hạng II và có khả năng sử dụng ngoại ngữ hoặc tiếng dân tộc thiểu số trong một số nhiệm vụ cụ thể được giao;</w:t>
      </w:r>
    </w:p>
    <w:p w14:paraId="7679967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i) Được công nhận là chiến sĩ thi đua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w:t>
      </w:r>
    </w:p>
    <w:p w14:paraId="318E56C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k) Viên chức dự thi hoặc xét thăng hạng chức danh nghề nghiệp giáo viên trung học cơ sở hạng II (mã số V.07.04.31) phải có thời gian giữ chức danh nghề nghiệp giáo viên trung học cơ sở hạng III (mã số V.07.04.32) hoặc tương đương đủ từ 09 (chín) năm trở lên (không kể thời gian tập sự), tính đến thời hạn nộp hồ sơ đăng ký dự thi hoặc xét thăng hạng.</w:t>
      </w:r>
    </w:p>
    <w:p w14:paraId="3CA4F52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5. Giáo viên trung học cơ sở hạng I - Mã số V.07.04.30</w:t>
      </w:r>
    </w:p>
    <w:p w14:paraId="1F5E9F1C"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shd w:val="clear" w:color="auto" w:fill="FFFFFF"/>
          <w:lang w:eastAsia="vi-VN"/>
        </w:rPr>
        <w:t>1.</w:t>
      </w:r>
      <w:r w:rsidRPr="00ED7B7B">
        <w:rPr>
          <w:rFonts w:ascii="Arial" w:eastAsia="Times New Roman" w:hAnsi="Arial" w:cs="Arial"/>
          <w:color w:val="222222"/>
          <w:sz w:val="20"/>
          <w:szCs w:val="20"/>
          <w:lang w:eastAsia="vi-VN"/>
        </w:rPr>
        <w:t> Nhiệm vụ</w:t>
      </w:r>
    </w:p>
    <w:p w14:paraId="0C0AADE5"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lastRenderedPageBreak/>
        <w:t>Ngoài những nhiệm vụ của giáo viên trung học cơ sở hạng II, giáo viên trung học cơ sở hạng I phải thực hiện những nhiệm vụ sau:</w:t>
      </w:r>
    </w:p>
    <w:p w14:paraId="10BDF0E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Tham gia biên soạn hoặc thẩm định hoặc lựa chọn sách giáo khoa, tài liệu giáo dục địa phương hoặc các tài liệu dạy học khác và tài liệu bồi dưỡng cho giáo viên;</w:t>
      </w:r>
    </w:p>
    <w:p w14:paraId="61D0798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Làm báo cáo viên, chia sẻ kinh nghiệm hoặc dạy minh họa ở các lớp tập huấn, bồi dưỡng phát triển chuyên môn, nghiệp vụ giáo viên từ cấp huyện trở lên hoặc tham gia dạy học trực tuyến;</w:t>
      </w:r>
    </w:p>
    <w:p w14:paraId="15D4250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Chủ trì triển khai, hướng dẫn đồng nghiệp triển khai các chủ trương, nội dung đổi mới của ngành;</w:t>
      </w:r>
    </w:p>
    <w:p w14:paraId="069DAC0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d) Tham gia công tác kiểm tra chuyên môn, nghiệp vụ cho giáo viên từ cấp huyện trở lên; tham gia đánh giá hoặc hướng dẫn các sản phẩm nghiên cứu khoa học và công nghệ từ cấp huyện trở lên;</w:t>
      </w:r>
    </w:p>
    <w:p w14:paraId="69DE4A22"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đ) Tham gia ban tổ chức hoặc ban giám khảo hoặc ban ra đề trong các hội thi (của giáo viên hoặc học sinh) từ cấp huyện trở lên (nếu có).</w:t>
      </w:r>
    </w:p>
    <w:p w14:paraId="0FCEEB4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Tiêu chuẩn về đạo đức nghề nghiệp</w:t>
      </w:r>
    </w:p>
    <w:p w14:paraId="102485A5"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Ngoài các tiêu chuẩn về đạo đức nghề nghiệp của giáo viên trung học cơ sở hạng II, giáo viên trung học cơ sở hạng I phải là tấm gương mẫu mực về đạo đức nhà giáo và vận động, hỗ trợ đồng nghiệp thực hiện tốt các quy định về đạo đức nhà giáo.</w:t>
      </w:r>
    </w:p>
    <w:p w14:paraId="6427BAAB"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3. Tiêu chuẩn về trình độ đào tạo, bồi dưỡng</w:t>
      </w:r>
    </w:p>
    <w:p w14:paraId="63312702"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Có bằng thạc sĩ trở lên thuộc ngành đào tạo giáo viên đối với giáo viên trung học cơ sở hoặc có bằng thạc sĩ trở lên chuyên ngành phù hợp với môn học giảng dạy hoặc có bằng thạc sĩ quản lý giáo dục trở lên;</w:t>
      </w:r>
    </w:p>
    <w:p w14:paraId="6FB25F5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Có chứng chỉ bồi dưỡng theo tiêu chuẩn chức danh nghề nghiệp giáo viên trung học cơ sở hạng I.</w:t>
      </w:r>
    </w:p>
    <w:p w14:paraId="2900E18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4. Tiêu chuẩn về năng lực chuyên môn, nghiệp vụ</w:t>
      </w:r>
    </w:p>
    <w:p w14:paraId="21D9C0C1"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trung học cơ sở vào nhiệm vụ được giao;</w:t>
      </w:r>
    </w:p>
    <w:p w14:paraId="39C4807C"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Có khả năng thực hiện và hướng dẫn, hỗ trợ đồng nghiệp xây dựng kế hoạch dạy học và giáo dục phù hợp với điều kiện thực tế của nhà trường và địa phương; hướng dẫn, hỗ trợ đồng nghiệp xây dựng bài học theo chủ đề liên môn;</w:t>
      </w:r>
    </w:p>
    <w:p w14:paraId="4281DCC1"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Có khả năng thực hiện và hướng dẫn, hỗ trợ đồng nghiệp trong việc vận dụng phương pháp, công nghệ dạy học và giáo dục theo hướng phát triển phẩm chất, năng lực học sinh phù hợp với điều kiện thực tế của nhà trường và địa phương;</w:t>
      </w:r>
    </w:p>
    <w:p w14:paraId="0AFEAB70"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d) Vận dụng và hướng dẫn, hỗ trợ đồng nghiệp trong việc sử dụng các hình thức, phương pháp kiểm tra, đánh giá kết quả học tập, rèn luyện và sự tiến bộ của học sinh theo hướng phát triển phẩm chất, năng lực học sinh;</w:t>
      </w:r>
    </w:p>
    <w:p w14:paraId="67039A90"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 xml:space="preserve">đ) Vận dụng và </w:t>
      </w:r>
      <w:proofErr w:type="spellStart"/>
      <w:r w:rsidRPr="00ED7B7B">
        <w:rPr>
          <w:rFonts w:ascii="Arial" w:eastAsia="Times New Roman" w:hAnsi="Arial" w:cs="Arial"/>
          <w:color w:val="222222"/>
          <w:sz w:val="20"/>
          <w:szCs w:val="20"/>
          <w:lang w:eastAsia="vi-VN"/>
        </w:rPr>
        <w:t>hưóng</w:t>
      </w:r>
      <w:proofErr w:type="spellEnd"/>
      <w:r w:rsidRPr="00ED7B7B">
        <w:rPr>
          <w:rFonts w:ascii="Arial" w:eastAsia="Times New Roman" w:hAnsi="Arial" w:cs="Arial"/>
          <w:color w:val="222222"/>
          <w:sz w:val="20"/>
          <w:szCs w:val="20"/>
          <w:lang w:eastAsia="vi-VN"/>
        </w:rPr>
        <w:t xml:space="preserve"> dẫn, hỗ trợ đồng nghiệp trong việc triển khai có hiệu quả các biện pháp tư vấn tâm lý, hướng nghiệp cho học sinh, cách lồng ghép trong hoạt động dạy học và giáo dục;</w:t>
      </w:r>
    </w:p>
    <w:p w14:paraId="104D6CF8"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e) Có khả năng đề xuất với nhà trường các biện pháp tăng cường sự phối hợp chặt chẽ giữa nhà trường với các tổ chức, cá nhân có liên quan trong việc thực hiện các hoạt động dạy học, giáo dục học sinh;</w:t>
      </w:r>
    </w:p>
    <w:p w14:paraId="055A13BB"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g) Có khả năng hướng dẫn, hỗ trợ đồng nghiệp, chia sẻ kinh nghiệm về phát triển năng lực chuyên môn, nghiệp vụ;</w:t>
      </w:r>
    </w:p>
    <w:p w14:paraId="6BB391CC"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h) Có khả năng ứng dụng công nghệ thông tin trong thực hiện các nhiệm vụ của giáo viên trung học cơ sở hạng I và có khả năng sử dụng ngoại ngữ hoặc tiếng dân tộc thiểu số trong một số nhiệm vụ cụ thể được giao;</w:t>
      </w:r>
    </w:p>
    <w:p w14:paraId="62ED2708"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lastRenderedPageBreak/>
        <w:t>i) 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 lên;</w:t>
      </w:r>
    </w:p>
    <w:p w14:paraId="3EFF5BB6" w14:textId="77777777" w:rsidR="00ED7B7B" w:rsidRPr="00ED7B7B" w:rsidRDefault="00ED7B7B" w:rsidP="00ED7B7B">
      <w:pPr>
        <w:spacing w:before="180" w:after="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k) Viên chức dự thi hoặc xét thăng hạng chức danh nghề nghiệp giáo viên trung học cơ sở hạng I (mã số V.07.04.30) phải có thời gian giữ chức danh nghề nghiệp giáo viên trung học cơ sở hạng II (mã số V.07.04.31) hoặc tương đương từ đủ 06 (sáu) năm trở lên, tính đến thời hạn nộp hồ sơ đăng ký dự thi hoặc xét thăng hạng.</w:t>
      </w:r>
    </w:p>
    <w:p w14:paraId="656E2DFB"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p w14:paraId="4EE6E05B"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Chương III. HƯỚNG DẪN BỔ NHIỆM VÀ XẾP LƯƠNG</w:t>
      </w:r>
      <w:r w:rsidRPr="00ED7B7B">
        <w:rPr>
          <w:rFonts w:ascii="Arial" w:eastAsia="Times New Roman" w:hAnsi="Arial" w:cs="Arial"/>
          <w:color w:val="222222"/>
          <w:sz w:val="26"/>
          <w:szCs w:val="26"/>
          <w:lang w:eastAsia="vi-VN"/>
        </w:rPr>
        <w:t> </w:t>
      </w:r>
      <w:r w:rsidRPr="00ED7B7B">
        <w:rPr>
          <w:rFonts w:ascii="Arial" w:eastAsia="Times New Roman" w:hAnsi="Arial" w:cs="Arial"/>
          <w:b/>
          <w:bCs/>
          <w:color w:val="222222"/>
          <w:sz w:val="20"/>
          <w:szCs w:val="20"/>
          <w:lang w:eastAsia="vi-VN"/>
        </w:rPr>
        <w:t>THEO CHỨC DANH NGHỀ NGHIỆP</w:t>
      </w:r>
    </w:p>
    <w:p w14:paraId="0A39EBA9"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p w14:paraId="6B127BB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6. Nguyên tắc bổ nhiệm theo chức danh nghề nghiệp đối với giáo viên trung học cơ sở</w:t>
      </w:r>
    </w:p>
    <w:p w14:paraId="3F2247EC"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1. Việc bổ nhiệm chức danh nghề nghiệp đối với giáo viên trung học cơ sở quy định tại Thông tư này phải căn cứ vào vị trí việc làm đang đảm nhận và bảo đảm đạt các tiêu chuẩn hạng chức danh nghề nghiệp được quy định tại Điều 3, Điều 4, Điều 5 và quy định tại Điều 7 Thông tư này.</w:t>
      </w:r>
    </w:p>
    <w:p w14:paraId="212DF430"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Khi bổ nhiệm giáo viên từ chức danh nghề nghiệp giáo viên trung học cơ sở theo quy định tại </w:t>
      </w:r>
      <w:hyperlink r:id="rId5" w:tgtFrame="_blank" w:history="1">
        <w:r w:rsidRPr="00ED7B7B">
          <w:rPr>
            <w:rFonts w:ascii="Arial" w:eastAsia="Times New Roman" w:hAnsi="Arial" w:cs="Arial"/>
            <w:color w:val="A67C52"/>
            <w:sz w:val="26"/>
            <w:szCs w:val="26"/>
            <w:u w:val="single"/>
            <w:lang w:eastAsia="vi-VN"/>
          </w:rPr>
          <w:t>Thông tư liên tịch số 22/2015/TTLT-BGDĐT-BNV</w:t>
        </w:r>
      </w:hyperlink>
      <w:r w:rsidRPr="00ED7B7B">
        <w:rPr>
          <w:rFonts w:ascii="Arial" w:eastAsia="Times New Roman" w:hAnsi="Arial" w:cs="Arial"/>
          <w:color w:val="222222"/>
          <w:sz w:val="20"/>
          <w:szCs w:val="20"/>
          <w:lang w:eastAsia="vi-VN"/>
        </w:rPr>
        <w:t> ngày 16 tháng 9 năm 2015 của Bộ Giáo dục và Đào tạo và Bộ Nội vụ quy định mã số, tiêu chuẩn chức danh nghề nghiệp giáo viên trung học cơ sở công lập (sau đây viết tắt là Thông tư liên tịch số 22/2015/TTLT-BGDĐT-BNV) vào chức danh nghề nghiệp giáo viên trung học cơ sở theo quy định tại Thông tư này thì không được kết hợp thăng hạng chức danh nghề nghiệp.</w:t>
      </w:r>
    </w:p>
    <w:p w14:paraId="7AFDABE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3. Không căn cứ vào trình độ được đào tạo để bổ nhiệm vào hạng chức danh nghề nghiệp cao hơn hạng chức danh nghề nghiệp đã trúng tuyển đối với giáo viên trung học cơ sở mới được tuyển dụng.</w:t>
      </w:r>
    </w:p>
    <w:p w14:paraId="70B8AE48"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7. Các trường hợp bổ nhiệm vào chức danh nghề nghiệp giáo viên trung học cơ sở</w:t>
      </w:r>
    </w:p>
    <w:p w14:paraId="7802F99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1. Viên chức đã được bổ nhiệm vào các hạng chức danh nghề nghiệp giáo viên trung học cơ sở theo quy định tại </w:t>
      </w:r>
      <w:hyperlink r:id="rId6" w:tgtFrame="_blank" w:history="1">
        <w:r w:rsidRPr="00ED7B7B">
          <w:rPr>
            <w:rFonts w:ascii="Arial" w:eastAsia="Times New Roman" w:hAnsi="Arial" w:cs="Arial"/>
            <w:color w:val="A67C52"/>
            <w:sz w:val="26"/>
            <w:szCs w:val="26"/>
            <w:u w:val="single"/>
            <w:lang w:eastAsia="vi-VN"/>
          </w:rPr>
          <w:t>Thông tư liên tịch số 22/2015/TTLT-BGDĐT-BNV</w:t>
        </w:r>
      </w:hyperlink>
      <w:r w:rsidRPr="00ED7B7B">
        <w:rPr>
          <w:rFonts w:ascii="Arial" w:eastAsia="Times New Roman" w:hAnsi="Arial" w:cs="Arial"/>
          <w:color w:val="222222"/>
          <w:sz w:val="20"/>
          <w:szCs w:val="20"/>
          <w:lang w:eastAsia="vi-VN"/>
        </w:rPr>
        <w:t> nếu đạt các tiêu chuẩn của hạng chức danh nghề nghiệp theo quy định tại Thông tư này thì được bổ nhiệm vào hạng chức danh nghề nghiệp giáo viên trung học cơ sở như sau:</w:t>
      </w:r>
    </w:p>
    <w:p w14:paraId="252EE6C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Giáo viên trung học cơ sở hạng III (mã số V.07.04.12) được bổ nhiệm vào chức danh nghề nghiệp giáo viên trung học cơ sở hạng III (mã số V.07.04.32);</w:t>
      </w:r>
    </w:p>
    <w:p w14:paraId="135966E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Giáo viên trung học cơ sở hạng II (mã số V.07.04.11) được bổ nhiệm vào chức danh nghề nghiệp giáo viên trung học cơ sở hạng II (mã số V.07.04.31);</w:t>
      </w:r>
    </w:p>
    <w:p w14:paraId="67CD34E8"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Giáo viên trung học cơ sở hạng I (mã số V.07.04.10) được bổ nhiệm vào chức danh nghề nghiệp giáo viên trung học cơ sở hạng I (mã số V.07.04.30).</w:t>
      </w:r>
    </w:p>
    <w:p w14:paraId="4673A0B1"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Giáo viên trung học cơ sở hạng II (mã số V.07.04.11) chưa đạt các tiêu chuẩn của hạng tương ứng theo quy định tại Điều 4 Thông tư này thì được bổ nhiệm vào chức danh nghề nghiệp giáo viên trung học cơ sở hạng III (mã số</w:t>
      </w:r>
      <w:r w:rsidRPr="00ED7B7B">
        <w:rPr>
          <w:rFonts w:ascii="Arial" w:eastAsia="Times New Roman" w:hAnsi="Arial" w:cs="Arial"/>
          <w:color w:val="222222"/>
          <w:sz w:val="26"/>
          <w:szCs w:val="26"/>
          <w:lang w:eastAsia="vi-VN"/>
        </w:rPr>
        <w:t> </w:t>
      </w:r>
      <w:r w:rsidRPr="00ED7B7B">
        <w:rPr>
          <w:rFonts w:ascii="Arial" w:eastAsia="Times New Roman" w:hAnsi="Arial" w:cs="Arial"/>
          <w:color w:val="222222"/>
          <w:sz w:val="20"/>
          <w:szCs w:val="20"/>
          <w:lang w:eastAsia="vi-VN"/>
        </w:rPr>
        <w:t>V.07.04.32); giáo viên trung học cơ sở hạng I (mã số V.07.04.10) chưa đạt các tiêu chuẩn của hạng tương ứng theo quy định tại Điều 5 Thông tư này thì được bổ nhiệm vào chức danh nghề nghiệp giáo viên trung học cơ sở hạng II (mã số V.07.04.31).</w:t>
      </w:r>
    </w:p>
    <w:p w14:paraId="5CE87C2B"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shd w:val="clear" w:color="auto" w:fill="FFFFFF"/>
          <w:lang w:eastAsia="vi-VN"/>
        </w:rPr>
        <w:t>3.</w:t>
      </w:r>
      <w:r w:rsidRPr="00ED7B7B">
        <w:rPr>
          <w:rFonts w:ascii="Arial" w:eastAsia="Times New Roman" w:hAnsi="Arial" w:cs="Arial"/>
          <w:color w:val="222222"/>
          <w:sz w:val="20"/>
          <w:szCs w:val="20"/>
          <w:lang w:eastAsia="vi-VN"/>
        </w:rPr>
        <w:t> Giáo viên trung học cơ sở mới được tuyển dụng sau khi hết thời gian tập sự theo quy định và được người đứng đầu đơn vị sự nghiệp công lập đánh giá đạt yêu cầu thì được bổ nhiệm vào đúng hạng chức danh nghề nghiệp giáo viên trung học cơ sở đã trúng tuyển.</w:t>
      </w:r>
    </w:p>
    <w:p w14:paraId="5DF05D9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8. Cách xếp lương</w:t>
      </w:r>
    </w:p>
    <w:p w14:paraId="6943D0E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lastRenderedPageBreak/>
        <w:t>1. Viên chức được bổ nhiệm vào các chức danh nghề nghiệp giáo viên trung học cơ sở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14:paraId="69B3418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Giáo viên trung học cơ sở hạng III, mã số V.07.04.32, được áp dụng hệ số lương của viên chức loại A1, từ hệ số lương 2,34 đến hệ số lương 4,98;</w:t>
      </w:r>
    </w:p>
    <w:p w14:paraId="1CE6D189"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Giáo viên trung học cơ sở hạng II, mã số V.07.04.31, được áp dụng hệ số lương của viên chức loại A2, nhóm A2.2, từ hệ số lương 4,00 đến hệ số lương 6,38;</w:t>
      </w:r>
    </w:p>
    <w:p w14:paraId="5E012C4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Giáo viên trung học cơ sở hạng I, mã số V.07.04.30, được áp dụng hệ số lương của viên chức loại A2, nhóm A2.1, từ hệ số lương 4,4 đến hệ số lương 6,78.</w:t>
      </w:r>
    </w:p>
    <w:p w14:paraId="6E0D0393" w14:textId="77777777" w:rsidR="00ED7B7B" w:rsidRPr="00ED7B7B" w:rsidRDefault="00ED7B7B" w:rsidP="00ED7B7B">
      <w:pPr>
        <w:spacing w:before="180" w:after="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Việc xếp lương khi bổ nhiệm vào hạng chức danh nghề nghiệp thực hiện theo hướng dẫn tại khoản 1 Mục II </w:t>
      </w:r>
      <w:hyperlink r:id="rId7" w:tgtFrame="_blank" w:history="1">
        <w:r w:rsidRPr="00ED7B7B">
          <w:rPr>
            <w:rFonts w:ascii="Arial" w:eastAsia="Times New Roman" w:hAnsi="Arial" w:cs="Arial"/>
            <w:color w:val="A67C52"/>
            <w:sz w:val="26"/>
            <w:szCs w:val="26"/>
            <w:u w:val="single"/>
            <w:lang w:eastAsia="vi-VN"/>
          </w:rPr>
          <w:t>Thông tư số 02/2007/TT-BNV</w:t>
        </w:r>
      </w:hyperlink>
      <w:r w:rsidRPr="00ED7B7B">
        <w:rPr>
          <w:rFonts w:ascii="Arial" w:eastAsia="Times New Roman" w:hAnsi="Arial" w:cs="Arial"/>
          <w:color w:val="222222"/>
          <w:sz w:val="20"/>
          <w:szCs w:val="20"/>
          <w:lang w:eastAsia="vi-VN"/>
        </w:rPr>
        <w:t> ngày 25 tháng 5 năm 2007 của Bộ Nội vụ hướng dẫn xếp lương khi nâng ngạch, chuyển ngạch, chuyển loại công chức, viên chức và theo quy định hiện hành của pháp luật. Khi thực hiện chính sách tiền lương mới, việc xếp sang lương mới thực hiện theo quy định của Chính phủ.</w:t>
      </w:r>
    </w:p>
    <w:p w14:paraId="044EFF70"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p w14:paraId="65AA27DA"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Chương IV. ĐIỀU KHOẢN THI HÀNH</w:t>
      </w:r>
    </w:p>
    <w:p w14:paraId="4BC7D0ED" w14:textId="77777777" w:rsidR="00ED7B7B" w:rsidRPr="00ED7B7B" w:rsidRDefault="00ED7B7B" w:rsidP="00ED7B7B">
      <w:pPr>
        <w:spacing w:before="180" w:after="0" w:line="240" w:lineRule="auto"/>
        <w:jc w:val="center"/>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p w14:paraId="4BA7022B"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9. Điều khoản chuyển tiếp</w:t>
      </w:r>
    </w:p>
    <w:p w14:paraId="610AFEF1"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shd w:val="clear" w:color="auto" w:fill="FFFFFF"/>
          <w:lang w:eastAsia="vi-VN"/>
        </w:rPr>
        <w:t>1.</w:t>
      </w:r>
      <w:r w:rsidRPr="00ED7B7B">
        <w:rPr>
          <w:rFonts w:ascii="Arial" w:eastAsia="Times New Roman" w:hAnsi="Arial" w:cs="Arial"/>
          <w:color w:val="222222"/>
          <w:sz w:val="20"/>
          <w:szCs w:val="20"/>
          <w:lang w:eastAsia="vi-VN"/>
        </w:rPr>
        <w:t> Giáo viên trung học cơ sở hạng III (mã số V.07.04.12) chưa đáp ứng trình độ chuẩn được đào tạo của giáo viên trung học cơ sở theo quy định tại điểm b khoản 1 Điều 72 Luật Giáo dục 2019 thì giữ nguyên mã số V.07.04.12 và áp dụng hệ số lương của viên chức loại A0 (từ hệ số lương 2,10 đến hệ số lương 4,89) cho đến khi đạt trình độ chuẩn được đào tạo thì được bổ nhiệm vào chức danh nghề nghiệp giáo viên trung học cơ sở hạng III (mã số V.07.04.32) hoặc cho đến khi nghỉ hưu nếu không thuộc đối tượng phải nâng trình độ chuẩn được đào tạo theo quy định tại </w:t>
      </w:r>
      <w:hyperlink r:id="rId8" w:tgtFrame="_blank" w:history="1">
        <w:r w:rsidRPr="00ED7B7B">
          <w:rPr>
            <w:rFonts w:ascii="Arial" w:eastAsia="Times New Roman" w:hAnsi="Arial" w:cs="Arial"/>
            <w:color w:val="A67C52"/>
            <w:sz w:val="26"/>
            <w:szCs w:val="26"/>
            <w:u w:val="single"/>
            <w:lang w:eastAsia="vi-VN"/>
          </w:rPr>
          <w:t>Nghị định số 71/2020/NĐ-CP</w:t>
        </w:r>
      </w:hyperlink>
      <w:r w:rsidRPr="00ED7B7B">
        <w:rPr>
          <w:rFonts w:ascii="Arial" w:eastAsia="Times New Roman" w:hAnsi="Arial" w:cs="Arial"/>
          <w:color w:val="222222"/>
          <w:sz w:val="20"/>
          <w:szCs w:val="20"/>
          <w:lang w:eastAsia="vi-VN"/>
        </w:rPr>
        <w:t> ngày 30 tháng 6 năm 2020 của Chính phủ quy định lộ trình thực hiện nâng trình độ chuẩn được đào tạo của giáo viên mầm non, tiểu học, trung học cơ sở.</w:t>
      </w:r>
    </w:p>
    <w:p w14:paraId="7DE33CC9"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Trường hợp giáo viên trung học cơ sở hạng II (mã số V.07.04.11) do chưa đạt các tiêu chuẩn của hạng II (mã số V.07.04.31) nên bổ nhiệm vào chức danh nghề nghiệp giáo viên trung học cơ sở hạng III (mã số V.07.04.32) theo quy định tại khoản 2 Điều 7 Thông tư này sau khi đạt các tiêu chuẩn của hạng II (mã số V.07.04.31) thì được bổ nhiệm vào chức danh nghề nghiệp giáo viên trung học cơ sở hạng II (mã số V.07.04.31) mà không phải thông qua kỳ thi hoặc xét thăng hạng.</w:t>
      </w:r>
    </w:p>
    <w:p w14:paraId="119FF80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3. Trường hợp giáo viên trung học cơ sở hạng I (mã số V.07.04.10) do chưa đạt các tiêu chuẩn của hạng I (mã số V.07.04.30) nên được bổ nhiệm vào chức danh nghề nghiệp giáo viên trung học cơ sở hạng II (mã số V.07.04.31) theo quy định tại khoản 2 Điều 7 Thông tư này sau khi đạt các tiêu chuẩn của hạng I (mã số V.07.04.30) thì được bổ nhiệm vào chức danh nghề nghiệp giáo viên trung học cơ sở hạng I (mã số V.07.04.30) mà không phải thông qua kỳ thi hoặc xét thăng hạng.</w:t>
      </w:r>
    </w:p>
    <w:p w14:paraId="40FB456A"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10. Điều khoản áp dụng</w:t>
      </w:r>
    </w:p>
    <w:p w14:paraId="02A2CCA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1. Giáo viên trung học cơ sở có bằng tốt nghiệp đại học thì được công nhận tương ứng với bằng cử nhân quy định tại điểm a khoản 3 Điều 3 và điểm a khoản 3 Điều 4 Thông tư này.</w:t>
      </w:r>
    </w:p>
    <w:p w14:paraId="3A92C22B"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Trường hợp giáo viên dự thi hoặc xét thăng hạng chức danh nghề nghiệp giáo viên trung học cơ sở hạng II (mã số V.07.04.31) nếu đã có bằng thạc sĩ trước khi tuyển dụng, đáp ứng tiêu chuẩn về trình độ đào tạo của giáo viên trung học cơ sở hạng II và có thời gian giữ chức danh nghề nghiệp giáo viên trung học cơ sở hạng III (mã số V.07.04.32) hoặc tương đương đủ từ 06 (sáu) năm trở lên (không kể thời gian tập sự), tính đến thời hạn nộp hồ sơ đăng ký dự thi hoặc xét thăng hạng thì được xác định là đủ yêu cầu về thời gian giữ hạng theo quy định tại điểm k khoản 4 Điều 4 Thông tư này.</w:t>
      </w:r>
    </w:p>
    <w:p w14:paraId="2B2FC3B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lastRenderedPageBreak/>
        <w:t>3. Chứng chỉ bồi dưỡng theo tiêu chuẩn chức danh nghề nghiệp hạng I, hạng II quy định tại </w:t>
      </w:r>
      <w:hyperlink r:id="rId9" w:tgtFrame="_blank" w:history="1">
        <w:r w:rsidRPr="00ED7B7B">
          <w:rPr>
            <w:rFonts w:ascii="Arial" w:eastAsia="Times New Roman" w:hAnsi="Arial" w:cs="Arial"/>
            <w:color w:val="A67C52"/>
            <w:sz w:val="26"/>
            <w:szCs w:val="26"/>
            <w:u w:val="single"/>
            <w:lang w:eastAsia="vi-VN"/>
          </w:rPr>
          <w:t>Thông tư liên tịch số 22/2015/TTLT-BGDĐT-BNV</w:t>
        </w:r>
      </w:hyperlink>
      <w:r w:rsidRPr="00ED7B7B">
        <w:rPr>
          <w:rFonts w:ascii="Arial" w:eastAsia="Times New Roman" w:hAnsi="Arial" w:cs="Arial"/>
          <w:color w:val="222222"/>
          <w:sz w:val="20"/>
          <w:szCs w:val="20"/>
          <w:lang w:eastAsia="vi-VN"/>
        </w:rPr>
        <w:t> được công nhận là tương đương với chúng chỉ bồi dưỡng theo tiêu chuẩn chức danh nghề nghiệp hạng I, hạng II quy định tại Thông tư này.</w:t>
      </w:r>
    </w:p>
    <w:p w14:paraId="62750B84"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4. Các chương trình bồi dưỡng theo tiêu chuẩn chức danh nghề nghiệp giáo viên trung học cơ sở hạng I, hạng II (ban hành kèm theo Quyết định số 2513/QĐ-BGDĐT ngày 22 tháng 7 năm 2016; </w:t>
      </w:r>
      <w:hyperlink r:id="rId10" w:tgtFrame="_blank" w:history="1">
        <w:r w:rsidRPr="00ED7B7B">
          <w:rPr>
            <w:rFonts w:ascii="Arial" w:eastAsia="Times New Roman" w:hAnsi="Arial" w:cs="Arial"/>
            <w:color w:val="A67C52"/>
            <w:sz w:val="26"/>
            <w:szCs w:val="26"/>
            <w:u w:val="single"/>
            <w:lang w:eastAsia="vi-VN"/>
          </w:rPr>
          <w:t>Quyết định số 2512/QĐ-BGDĐT</w:t>
        </w:r>
      </w:hyperlink>
      <w:r w:rsidRPr="00ED7B7B">
        <w:rPr>
          <w:rFonts w:ascii="Arial" w:eastAsia="Times New Roman" w:hAnsi="Arial" w:cs="Arial"/>
          <w:color w:val="222222"/>
          <w:sz w:val="20"/>
          <w:szCs w:val="20"/>
          <w:lang w:eastAsia="vi-VN"/>
        </w:rPr>
        <w:t> ngày 22 tháng 7 năm 2016 của Bộ trưởng Bộ Giáo dục và Đào tạo) được tiếp tục thực hiện cho đến khi có các chương trình bồi dưỡng thay thế.</w:t>
      </w:r>
    </w:p>
    <w:p w14:paraId="3F47A95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5. Yêu cầu về chứng chỉ bồi dưỡng theo tiêu chuẩn chức danh nghề nghiệp</w:t>
      </w:r>
      <w:r w:rsidRPr="00ED7B7B">
        <w:rPr>
          <w:rFonts w:ascii="Arial" w:eastAsia="Times New Roman" w:hAnsi="Arial" w:cs="Arial"/>
          <w:color w:val="222222"/>
          <w:sz w:val="26"/>
          <w:szCs w:val="26"/>
          <w:lang w:eastAsia="vi-VN"/>
        </w:rPr>
        <w:t> </w:t>
      </w:r>
      <w:r w:rsidRPr="00ED7B7B">
        <w:rPr>
          <w:rFonts w:ascii="Arial" w:eastAsia="Times New Roman" w:hAnsi="Arial" w:cs="Arial"/>
          <w:color w:val="222222"/>
          <w:sz w:val="20"/>
          <w:szCs w:val="20"/>
          <w:lang w:eastAsia="vi-VN"/>
        </w:rPr>
        <w:t>giáo viên trung học cơ sở hạng III theo quy định tại điểm b khoản 3 Điều 3 Thông tư này áp dụng đối với giáo viên trung học cơ sở được tuyển dụng sau ngày Thông tư này có hiệu lực thi hành.</w:t>
      </w:r>
    </w:p>
    <w:p w14:paraId="3B380EA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shd w:val="clear" w:color="auto" w:fill="FFFFFF"/>
          <w:lang w:eastAsia="vi-VN"/>
        </w:rPr>
        <w:t>6.</w:t>
      </w:r>
      <w:r w:rsidRPr="00ED7B7B">
        <w:rPr>
          <w:rFonts w:ascii="Arial" w:eastAsia="Times New Roman" w:hAnsi="Arial" w:cs="Arial"/>
          <w:color w:val="222222"/>
          <w:sz w:val="20"/>
          <w:szCs w:val="20"/>
          <w:lang w:eastAsia="vi-VN"/>
        </w:rPr>
        <w:t> Đối với những nhiệm vụ theo hạng chức danh nghề nghiệp giáo viên trung học cơ sở mà trường trung học cơ sở công lập không được giao hoặc không đủ điều kiện thực hiện thì người đứng đầu trường trung học cơ sở công lập báo cáo cơ quan có thẩm quyền trực tiếp quyết định việc quy đổi sang các nhiệm vụ khác có liên quan.</w:t>
      </w:r>
    </w:p>
    <w:p w14:paraId="7097D2CB"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t>Điều 11. Tổ chức thực hiện</w:t>
      </w:r>
    </w:p>
    <w:p w14:paraId="0B7EAEAF"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1.</w:t>
      </w:r>
      <w:r w:rsidRPr="00ED7B7B">
        <w:rPr>
          <w:rFonts w:ascii="Arial" w:eastAsia="Times New Roman" w:hAnsi="Arial" w:cs="Arial"/>
          <w:color w:val="222222"/>
          <w:sz w:val="26"/>
          <w:szCs w:val="26"/>
          <w:lang w:eastAsia="vi-VN"/>
        </w:rPr>
        <w:t> </w:t>
      </w:r>
      <w:r w:rsidRPr="00ED7B7B">
        <w:rPr>
          <w:rFonts w:ascii="Arial" w:eastAsia="Times New Roman" w:hAnsi="Arial" w:cs="Arial"/>
          <w:color w:val="222222"/>
          <w:sz w:val="20"/>
          <w:szCs w:val="20"/>
          <w:lang w:eastAsia="vi-VN"/>
        </w:rPr>
        <w:t>Thông tư này là căn cứ để xác định vị trí việc làm, cơ cấu viên chức theo chức danh nghề nghiệp giáo viên trung học cơ sở và thực hiện việc tuyển dụng, sử dụng và quản lý giáo viên trung học cơ sở trong các trường trung học cơ sở công lập thuộc hệ thống giáo dục quốc dân. Cục Nhà giáo và Cán bộ quản lý giáo dục chủ trì, hướng dẫn chi tiết triển khai thực hiện Thông tư này.</w:t>
      </w:r>
    </w:p>
    <w:p w14:paraId="160029A6"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Người đứng đầu các trường trung học cơ sở công lập trực tiếp quản lý, sử dụng viên chức có trách nhiệm:</w:t>
      </w:r>
    </w:p>
    <w:p w14:paraId="1F4A7004"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 Xây dựng Đề án vị trí việc làm; xác định cụ thể cơ cấu viên chức theo chức danh nghề nghiệp giáo viên trung học cơ sở phù hợp với điều kiện của nhà trường và bảo đảm thực hiện các kế hoạch, chiến lược phát triển đội ngũ của nhà trường; rà soát Đề án vị trí việc làm, lập phương án bổ nhiệm chức danh nghề nghiệp và xếp lương đối với giáo viên trung học cơ sở trong trường trung học cơ sở thuộc thẩm quyền quản lý, trình cấp có thẩm quyền xem xét, quyết định hoặc quyết định theo thẩm quyền phân cấp;</w:t>
      </w:r>
    </w:p>
    <w:p w14:paraId="05B8117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Báo cáo cơ quan có thẩm quyền quản lý theo quy định kết quả bổ nhiệm chức danh nghề nghiệp và xếp lương đối với giáo viên trung học cơ sở;</w:t>
      </w:r>
    </w:p>
    <w:p w14:paraId="0182A4B4"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Xây dựng kế hoạch đào tạo, bồi dưỡng giáo viên trung học cơ sở; tạo điều kiện để giáo viên trung học cơ sở được đào tạo, bồi dưỡng đáp ứng tiêu chuẩn chức danh nghề nghiệp theo quy định của pháp luật;</w:t>
      </w:r>
    </w:p>
    <w:p w14:paraId="0BF52FC9"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d) Căn cứ vào nhiệm vụ của hạng chức danh nghề nghiệp để bố trí, phân công nhiệm vụ của giáo viên trung học cơ sở hợp lý, phát huy năng lực và hiệu quả công việc của giáo viên trung học cơ sở.</w:t>
      </w:r>
    </w:p>
    <w:p w14:paraId="5836F3CE"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3. Người đúng đầu cơ quan có thẩm quyền quản lý trường trung học cơ sở công lập có trách nhiệm:</w:t>
      </w:r>
    </w:p>
    <w:p w14:paraId="4F341D9C"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a)</w:t>
      </w:r>
      <w:r w:rsidRPr="00ED7B7B">
        <w:rPr>
          <w:rFonts w:ascii="Arial" w:eastAsia="Times New Roman" w:hAnsi="Arial" w:cs="Arial"/>
          <w:color w:val="222222"/>
          <w:sz w:val="26"/>
          <w:szCs w:val="26"/>
          <w:lang w:eastAsia="vi-VN"/>
        </w:rPr>
        <w:t> </w:t>
      </w:r>
      <w:r w:rsidRPr="00ED7B7B">
        <w:rPr>
          <w:rFonts w:ascii="Arial" w:eastAsia="Times New Roman" w:hAnsi="Arial" w:cs="Arial"/>
          <w:color w:val="222222"/>
          <w:sz w:val="20"/>
          <w:szCs w:val="20"/>
          <w:lang w:eastAsia="vi-VN"/>
        </w:rPr>
        <w:t>Phê duyệt phương án bổ nhiệm chức danh nghề nghiệp và xếp lương đối với giáo viên trung học cơ sở trong các trường trung học cơ sở công lập thuộc phạm vi quản lý; giải quyết theo thẩm quyền những vướng mắc trong quá trình bổ nhiệm chức danh nghề nghiệp và xếp lương đối với giáo viên trung học cơ sở trong các trường trung học cơ sở công lập thuộc phạm vi quản lý;</w:t>
      </w:r>
    </w:p>
    <w:p w14:paraId="1D60BDE5"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b) Quyết định theo thẩm quyền hoặc phân cấp việc quyết định bổ nhiệm vào hạng chức danh nghề nghiệp và xếp lương đối với giáo viên trung học cơ sở trong các trường trung học cơ sở công lập;</w:t>
      </w:r>
    </w:p>
    <w:p w14:paraId="2361B3F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c) Báo cáo kết quả bo nhiệm chức danh nghề nghiệp và xếp lương đối với viên chức là giáo viên trung học cơ sở trong các trường trung học cơ sở công lập thuộc phạm vi quản lý về cơ quan có thẩm quyền theo quy định.</w:t>
      </w:r>
    </w:p>
    <w:p w14:paraId="7641BFE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b/>
          <w:bCs/>
          <w:color w:val="222222"/>
          <w:sz w:val="20"/>
          <w:szCs w:val="20"/>
          <w:lang w:eastAsia="vi-VN"/>
        </w:rPr>
        <w:lastRenderedPageBreak/>
        <w:t>Điều 12. Hiệu lực thi hành và trách nhiệm thi hành</w:t>
      </w:r>
    </w:p>
    <w:p w14:paraId="536CE5F3"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shd w:val="clear" w:color="auto" w:fill="FFFFFF"/>
          <w:lang w:eastAsia="vi-VN"/>
        </w:rPr>
        <w:t>1.</w:t>
      </w:r>
      <w:r w:rsidRPr="00ED7B7B">
        <w:rPr>
          <w:rFonts w:ascii="Arial" w:eastAsia="Times New Roman" w:hAnsi="Arial" w:cs="Arial"/>
          <w:color w:val="222222"/>
          <w:sz w:val="20"/>
          <w:szCs w:val="20"/>
          <w:lang w:eastAsia="vi-VN"/>
        </w:rPr>
        <w:t> Thông tư này có hiệu lực thi hành kể từ ngày 20 tháng 3 năm 2021.</w:t>
      </w:r>
    </w:p>
    <w:p w14:paraId="13BE890D"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2.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14:paraId="0F9C6F2C"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3. Trường hợp các văn bản dẫn chiếu tại Thông tư này được sửa đổi, bổ sung hoặc thay thế thì thực hiện theo các văn bản mới đó.</w:t>
      </w:r>
    </w:p>
    <w:p w14:paraId="7F61AE57" w14:textId="77777777" w:rsidR="00ED7B7B" w:rsidRPr="00ED7B7B" w:rsidRDefault="00ED7B7B" w:rsidP="00ED7B7B">
      <w:pPr>
        <w:spacing w:before="180" w:after="12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lang w:eastAsia="vi-VN"/>
        </w:rPr>
        <w:t>4. Thông tư này thay thế</w:t>
      </w:r>
      <w:hyperlink r:id="rId11" w:tgtFrame="_blank" w:history="1">
        <w:r w:rsidRPr="00ED7B7B">
          <w:rPr>
            <w:rFonts w:ascii="Arial" w:eastAsia="Times New Roman" w:hAnsi="Arial" w:cs="Arial"/>
            <w:color w:val="A67C52"/>
            <w:sz w:val="26"/>
            <w:szCs w:val="26"/>
            <w:u w:val="single"/>
            <w:lang w:eastAsia="vi-VN"/>
          </w:rPr>
          <w:t> Thông tư liên tịch số 22/2015/TTLT-BGDĐT-BNV</w:t>
        </w:r>
      </w:hyperlink>
      <w:r w:rsidRPr="00ED7B7B">
        <w:rPr>
          <w:rFonts w:ascii="Arial" w:eastAsia="Times New Roman" w:hAnsi="Arial" w:cs="Arial"/>
          <w:color w:val="222222"/>
          <w:sz w:val="20"/>
          <w:szCs w:val="20"/>
          <w:lang w:eastAsia="vi-VN"/>
        </w:rPr>
        <w:t> ngày 16 tháng 9 năm 2015 của Bộ Giáo dục và Đào tạo và Bộ Nội vụ quy định mã số, tiêu chuẩn chức danh nghề nghiệp giáo viên trung học cơ sở công lập.</w:t>
      </w:r>
    </w:p>
    <w:p w14:paraId="616A4B1F" w14:textId="77777777" w:rsidR="00ED7B7B" w:rsidRPr="00ED7B7B" w:rsidRDefault="00ED7B7B" w:rsidP="00ED7B7B">
      <w:pPr>
        <w:spacing w:before="180" w:after="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0"/>
          <w:szCs w:val="20"/>
          <w:shd w:val="clear" w:color="auto" w:fill="FFFFFF"/>
          <w:lang w:eastAsia="vi-VN"/>
        </w:rPr>
        <w:t>5.</w:t>
      </w:r>
      <w:r w:rsidRPr="00ED7B7B">
        <w:rPr>
          <w:rFonts w:ascii="Arial" w:eastAsia="Times New Roman" w:hAnsi="Arial" w:cs="Arial"/>
          <w:color w:val="222222"/>
          <w:sz w:val="20"/>
          <w:szCs w:val="20"/>
          <w:lang w:eastAsia="vi-VN"/>
        </w:rPr>
        <w:t> Trong quá trình thực hiện nếu có vướng mắc, đề nghị phản ánh về Bộ Giáo dục và Đào tạo để xem xét, giải quyết./.</w:t>
      </w:r>
    </w:p>
    <w:p w14:paraId="45D0C67E" w14:textId="77777777" w:rsidR="00ED7B7B" w:rsidRPr="00ED7B7B" w:rsidRDefault="00ED7B7B" w:rsidP="00ED7B7B">
      <w:pPr>
        <w:spacing w:before="180" w:line="240" w:lineRule="auto"/>
        <w:ind w:firstLine="720"/>
        <w:jc w:val="both"/>
        <w:rPr>
          <w:rFonts w:ascii="Arial" w:eastAsia="Times New Roman" w:hAnsi="Arial" w:cs="Arial"/>
          <w:color w:val="222222"/>
          <w:sz w:val="26"/>
          <w:szCs w:val="26"/>
          <w:lang w:eastAsia="vi-VN"/>
        </w:rPr>
      </w:pPr>
      <w:r w:rsidRPr="00ED7B7B">
        <w:rPr>
          <w:rFonts w:ascii="Arial" w:eastAsia="Times New Roman" w:hAnsi="Arial" w:cs="Arial"/>
          <w:color w:val="222222"/>
          <w:sz w:val="26"/>
          <w:szCs w:val="26"/>
          <w:lang w:eastAsia="vi-VN"/>
        </w:rPr>
        <w:t> </w:t>
      </w:r>
    </w:p>
    <w:tbl>
      <w:tblPr>
        <w:tblW w:w="4850" w:type="pct"/>
        <w:jc w:val="center"/>
        <w:tblCellMar>
          <w:left w:w="0" w:type="dxa"/>
          <w:right w:w="0" w:type="dxa"/>
        </w:tblCellMar>
        <w:tblLook w:val="04A0" w:firstRow="1" w:lastRow="0" w:firstColumn="1" w:lastColumn="0" w:noHBand="0" w:noVBand="1"/>
      </w:tblPr>
      <w:tblGrid>
        <w:gridCol w:w="5144"/>
        <w:gridCol w:w="3611"/>
      </w:tblGrid>
      <w:tr w:rsidR="00ED7B7B" w:rsidRPr="00ED7B7B" w14:paraId="4EA3AE0B" w14:textId="77777777" w:rsidTr="00ED7B7B">
        <w:trPr>
          <w:trHeight w:val="765"/>
          <w:jc w:val="center"/>
        </w:trPr>
        <w:tc>
          <w:tcPr>
            <w:tcW w:w="7021" w:type="dxa"/>
            <w:tcMar>
              <w:top w:w="0" w:type="dxa"/>
              <w:left w:w="108" w:type="dxa"/>
              <w:bottom w:w="0" w:type="dxa"/>
              <w:right w:w="108" w:type="dxa"/>
            </w:tcMar>
            <w:hideMark/>
          </w:tcPr>
          <w:p w14:paraId="755BAEA1"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b/>
                <w:bCs/>
                <w:i/>
                <w:iCs/>
                <w:color w:val="222222"/>
                <w:sz w:val="26"/>
                <w:szCs w:val="26"/>
                <w:lang w:eastAsia="vi-VN"/>
              </w:rPr>
              <w:t>Nơi nhận:</w:t>
            </w:r>
          </w:p>
          <w:p w14:paraId="5947550A"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 Văn phòng Quốc hội;</w:t>
            </w:r>
          </w:p>
          <w:p w14:paraId="209658E5"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Văn phòng Chính phủ;</w:t>
            </w:r>
          </w:p>
          <w:p w14:paraId="42DD111F"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 Ủy ban VHGDTTN&amp;NĐ của Quốc hội;</w:t>
            </w:r>
          </w:p>
          <w:p w14:paraId="35E6BA7D"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 Ban Tuyên giáo Trung ương;</w:t>
            </w:r>
          </w:p>
          <w:p w14:paraId="6F8D1A49"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Cục Kiểm tra VBQPPL (Bộ Tư pháp);</w:t>
            </w:r>
          </w:p>
          <w:p w14:paraId="13364A4C"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Các Bộ, cơ quan ngang Bộ, cơ quan thuộc Chính phủ;</w:t>
            </w:r>
          </w:p>
          <w:p w14:paraId="24CD0F1E"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Hội đồng Quốc gia Giáo dục và Phát triển nhân lực;</w:t>
            </w:r>
          </w:p>
          <w:p w14:paraId="69C9ACA4"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HĐND, UBND các tỉnh, thành phố trực thuộc TƯ;</w:t>
            </w:r>
          </w:p>
          <w:p w14:paraId="78F0F900"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Bộ trưởng;</w:t>
            </w:r>
          </w:p>
          <w:p w14:paraId="4F8D64A4"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Các Sở Giáo dục và Đào tạo; Sở Giáo dục, Khoa học và Công nghệ Bạc Liêu;</w:t>
            </w:r>
          </w:p>
          <w:p w14:paraId="7E5ADA4A"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 Như Điều 12;</w:t>
            </w:r>
          </w:p>
          <w:p w14:paraId="7E754C9A"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Công báo;</w:t>
            </w:r>
          </w:p>
          <w:p w14:paraId="7508BCBC"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Cổng TTĐT của Chính phủ;</w:t>
            </w:r>
          </w:p>
          <w:p w14:paraId="6B3D5DD3"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Cổng TTĐT của Bộ Giáo dục và Đào tạo;</w:t>
            </w:r>
          </w:p>
          <w:p w14:paraId="2C45464A"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Công đoàn Giáo dục Việt Nam;</w:t>
            </w:r>
          </w:p>
          <w:p w14:paraId="78A6483D" w14:textId="77777777" w:rsidR="00ED7B7B" w:rsidRPr="00ED7B7B" w:rsidRDefault="00ED7B7B" w:rsidP="00ED7B7B">
            <w:pPr>
              <w:spacing w:before="180" w:after="180" w:line="240" w:lineRule="auto"/>
              <w:jc w:val="both"/>
              <w:rPr>
                <w:rFonts w:ascii="Times New Roman" w:eastAsia="Times New Roman" w:hAnsi="Times New Roman" w:cs="Times New Roman"/>
                <w:color w:val="222222"/>
                <w:sz w:val="26"/>
                <w:szCs w:val="26"/>
                <w:lang w:eastAsia="vi-VN"/>
              </w:rPr>
            </w:pPr>
            <w:r w:rsidRPr="00ED7B7B">
              <w:rPr>
                <w:rFonts w:ascii="Arial" w:eastAsia="Times New Roman" w:hAnsi="Arial" w:cs="Arial"/>
                <w:color w:val="222222"/>
                <w:sz w:val="26"/>
                <w:szCs w:val="26"/>
                <w:lang w:eastAsia="vi-VN"/>
              </w:rPr>
              <w:lastRenderedPageBreak/>
              <w:t>-</w:t>
            </w:r>
            <w:r w:rsidRPr="00ED7B7B">
              <w:rPr>
                <w:rFonts w:ascii="Times New Roman" w:eastAsia="Times New Roman" w:hAnsi="Times New Roman" w:cs="Times New Roman"/>
                <w:color w:val="222222"/>
                <w:sz w:val="26"/>
                <w:szCs w:val="26"/>
                <w:lang w:eastAsia="vi-VN"/>
              </w:rPr>
              <w:t> </w:t>
            </w:r>
            <w:r w:rsidRPr="00ED7B7B">
              <w:rPr>
                <w:rFonts w:ascii="Arial" w:eastAsia="Times New Roman" w:hAnsi="Arial" w:cs="Arial"/>
                <w:color w:val="222222"/>
                <w:sz w:val="26"/>
                <w:szCs w:val="26"/>
                <w:lang w:eastAsia="vi-VN"/>
              </w:rPr>
              <w:t>Lưu: VT, PC, NGCBQLGD (15b).</w:t>
            </w:r>
          </w:p>
        </w:tc>
        <w:tc>
          <w:tcPr>
            <w:tcW w:w="5109" w:type="dxa"/>
            <w:tcMar>
              <w:top w:w="0" w:type="dxa"/>
              <w:left w:w="108" w:type="dxa"/>
              <w:bottom w:w="0" w:type="dxa"/>
              <w:right w:w="108" w:type="dxa"/>
            </w:tcMar>
            <w:hideMark/>
          </w:tcPr>
          <w:p w14:paraId="1E2E57AE"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Arial" w:eastAsia="Times New Roman" w:hAnsi="Arial" w:cs="Arial"/>
                <w:b/>
                <w:bCs/>
                <w:color w:val="222222"/>
                <w:sz w:val="20"/>
                <w:szCs w:val="20"/>
                <w:lang w:eastAsia="vi-VN"/>
              </w:rPr>
              <w:lastRenderedPageBreak/>
              <w:t>KT. BỘ TRƯỞNG</w:t>
            </w:r>
          </w:p>
          <w:p w14:paraId="72E66A13"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Arial" w:eastAsia="Times New Roman" w:hAnsi="Arial" w:cs="Arial"/>
                <w:b/>
                <w:bCs/>
                <w:color w:val="222222"/>
                <w:sz w:val="20"/>
                <w:szCs w:val="20"/>
                <w:lang w:eastAsia="vi-VN"/>
              </w:rPr>
              <w:t>THỨ TRƯỞNG</w:t>
            </w:r>
          </w:p>
          <w:p w14:paraId="0C806021"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Times New Roman" w:eastAsia="Times New Roman" w:hAnsi="Times New Roman" w:cs="Times New Roman"/>
                <w:color w:val="222222"/>
                <w:sz w:val="26"/>
                <w:szCs w:val="26"/>
                <w:lang w:eastAsia="vi-VN"/>
              </w:rPr>
              <w:t> </w:t>
            </w:r>
          </w:p>
          <w:p w14:paraId="33F483F7"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Times New Roman" w:eastAsia="Times New Roman" w:hAnsi="Times New Roman" w:cs="Times New Roman"/>
                <w:color w:val="222222"/>
                <w:sz w:val="26"/>
                <w:szCs w:val="26"/>
                <w:lang w:eastAsia="vi-VN"/>
              </w:rPr>
              <w:t> </w:t>
            </w:r>
          </w:p>
          <w:p w14:paraId="46777A7D"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Times New Roman" w:eastAsia="Times New Roman" w:hAnsi="Times New Roman" w:cs="Times New Roman"/>
                <w:color w:val="222222"/>
                <w:sz w:val="26"/>
                <w:szCs w:val="26"/>
                <w:lang w:eastAsia="vi-VN"/>
              </w:rPr>
              <w:t> </w:t>
            </w:r>
          </w:p>
          <w:p w14:paraId="70A2EC7E"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Times New Roman" w:eastAsia="Times New Roman" w:hAnsi="Times New Roman" w:cs="Times New Roman"/>
                <w:color w:val="222222"/>
                <w:sz w:val="26"/>
                <w:szCs w:val="26"/>
                <w:lang w:eastAsia="vi-VN"/>
              </w:rPr>
              <w:t> </w:t>
            </w:r>
          </w:p>
          <w:p w14:paraId="35578ADF"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Times New Roman" w:eastAsia="Times New Roman" w:hAnsi="Times New Roman" w:cs="Times New Roman"/>
                <w:color w:val="222222"/>
                <w:sz w:val="26"/>
                <w:szCs w:val="26"/>
                <w:lang w:eastAsia="vi-VN"/>
              </w:rPr>
              <w:t> </w:t>
            </w:r>
          </w:p>
          <w:p w14:paraId="7A775278" w14:textId="77777777" w:rsidR="00ED7B7B" w:rsidRPr="00ED7B7B" w:rsidRDefault="00ED7B7B" w:rsidP="00ED7B7B">
            <w:pPr>
              <w:spacing w:before="180" w:after="180" w:line="240" w:lineRule="auto"/>
              <w:jc w:val="center"/>
              <w:rPr>
                <w:rFonts w:ascii="Times New Roman" w:eastAsia="Times New Roman" w:hAnsi="Times New Roman" w:cs="Times New Roman"/>
                <w:color w:val="222222"/>
                <w:sz w:val="26"/>
                <w:szCs w:val="26"/>
                <w:lang w:eastAsia="vi-VN"/>
              </w:rPr>
            </w:pPr>
            <w:r w:rsidRPr="00ED7B7B">
              <w:rPr>
                <w:rFonts w:ascii="Arial" w:eastAsia="Times New Roman" w:hAnsi="Arial" w:cs="Arial"/>
                <w:b/>
                <w:bCs/>
                <w:sz w:val="20"/>
                <w:szCs w:val="20"/>
                <w:lang w:eastAsia="vi-VN"/>
              </w:rPr>
              <w:t>Phạm Ngọc Thưởng</w:t>
            </w:r>
          </w:p>
        </w:tc>
      </w:tr>
    </w:tbl>
    <w:p w14:paraId="2302C1FB" w14:textId="77777777" w:rsidR="007E04EE" w:rsidRDefault="007E04EE"/>
    <w:sectPr w:rsidR="007E0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176C"/>
    <w:multiLevelType w:val="multilevel"/>
    <w:tmpl w:val="747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00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7B"/>
    <w:rsid w:val="007E04EE"/>
    <w:rsid w:val="00ED7B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3E95"/>
  <w15:chartTrackingRefBased/>
  <w15:docId w15:val="{D99ED6B4-F76A-4CF3-9E82-F97C5269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3847">
      <w:bodyDiv w:val="1"/>
      <w:marLeft w:val="0"/>
      <w:marRight w:val="0"/>
      <w:marTop w:val="0"/>
      <w:marBottom w:val="0"/>
      <w:divBdr>
        <w:top w:val="none" w:sz="0" w:space="0" w:color="auto"/>
        <w:left w:val="none" w:sz="0" w:space="0" w:color="auto"/>
        <w:bottom w:val="none" w:sz="0" w:space="0" w:color="auto"/>
        <w:right w:val="none" w:sz="0" w:space="0" w:color="auto"/>
      </w:divBdr>
      <w:divsChild>
        <w:div w:id="266469645">
          <w:marLeft w:val="0"/>
          <w:marRight w:val="0"/>
          <w:marTop w:val="0"/>
          <w:marBottom w:val="0"/>
          <w:divBdr>
            <w:top w:val="none" w:sz="0" w:space="0" w:color="auto"/>
            <w:left w:val="none" w:sz="0" w:space="0" w:color="auto"/>
            <w:bottom w:val="none" w:sz="0" w:space="0" w:color="auto"/>
            <w:right w:val="none" w:sz="0" w:space="0" w:color="auto"/>
          </w:divBdr>
          <w:divsChild>
            <w:div w:id="1298535883">
              <w:marLeft w:val="0"/>
              <w:marRight w:val="0"/>
              <w:marTop w:val="100"/>
              <w:marBottom w:val="100"/>
              <w:divBdr>
                <w:top w:val="none" w:sz="0" w:space="0" w:color="auto"/>
                <w:left w:val="none" w:sz="0" w:space="0" w:color="auto"/>
                <w:bottom w:val="none" w:sz="0" w:space="0" w:color="auto"/>
                <w:right w:val="none" w:sz="0" w:space="0" w:color="auto"/>
              </w:divBdr>
              <w:divsChild>
                <w:div w:id="258831718">
                  <w:marLeft w:val="0"/>
                  <w:marRight w:val="0"/>
                  <w:marTop w:val="0"/>
                  <w:marBottom w:val="0"/>
                  <w:divBdr>
                    <w:top w:val="none" w:sz="0" w:space="0" w:color="auto"/>
                    <w:left w:val="none" w:sz="0" w:space="0" w:color="auto"/>
                    <w:bottom w:val="none" w:sz="0" w:space="0" w:color="auto"/>
                    <w:right w:val="none" w:sz="0" w:space="0" w:color="auto"/>
                  </w:divBdr>
                  <w:divsChild>
                    <w:div w:id="1203320849">
                      <w:marLeft w:val="0"/>
                      <w:marRight w:val="0"/>
                      <w:marTop w:val="0"/>
                      <w:marBottom w:val="0"/>
                      <w:divBdr>
                        <w:top w:val="none" w:sz="0" w:space="0" w:color="auto"/>
                        <w:left w:val="none" w:sz="0" w:space="0" w:color="auto"/>
                        <w:bottom w:val="none" w:sz="0" w:space="0" w:color="auto"/>
                        <w:right w:val="none" w:sz="0" w:space="0" w:color="auto"/>
                      </w:divBdr>
                    </w:div>
                  </w:divsChild>
                </w:div>
                <w:div w:id="133259623">
                  <w:marLeft w:val="180"/>
                  <w:marRight w:val="0"/>
                  <w:marTop w:val="45"/>
                  <w:marBottom w:val="0"/>
                  <w:divBdr>
                    <w:top w:val="none" w:sz="0" w:space="0" w:color="auto"/>
                    <w:left w:val="none" w:sz="0" w:space="0" w:color="auto"/>
                    <w:bottom w:val="none" w:sz="0" w:space="0" w:color="auto"/>
                    <w:right w:val="none" w:sz="0" w:space="0" w:color="auto"/>
                  </w:divBdr>
                  <w:divsChild>
                    <w:div w:id="208984444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03137036">
          <w:marLeft w:val="0"/>
          <w:marRight w:val="0"/>
          <w:marTop w:val="0"/>
          <w:marBottom w:val="450"/>
          <w:divBdr>
            <w:top w:val="single" w:sz="6" w:space="0" w:color="DDDDDD"/>
            <w:left w:val="single" w:sz="6" w:space="0" w:color="DDDDDD"/>
            <w:bottom w:val="single" w:sz="6" w:space="0" w:color="DDDDDD"/>
            <w:right w:val="single" w:sz="6" w:space="0" w:color="DDDDDD"/>
          </w:divBdr>
          <w:divsChild>
            <w:div w:id="1124075844">
              <w:marLeft w:val="0"/>
              <w:marRight w:val="0"/>
              <w:marTop w:val="0"/>
              <w:marBottom w:val="0"/>
              <w:divBdr>
                <w:top w:val="none" w:sz="0" w:space="0" w:color="auto"/>
                <w:left w:val="none" w:sz="0" w:space="0" w:color="auto"/>
                <w:bottom w:val="none" w:sz="0" w:space="0" w:color="auto"/>
                <w:right w:val="none" w:sz="0" w:space="0" w:color="auto"/>
              </w:divBdr>
              <w:divsChild>
                <w:div w:id="199823853">
                  <w:marLeft w:val="0"/>
                  <w:marRight w:val="0"/>
                  <w:marTop w:val="0"/>
                  <w:marBottom w:val="0"/>
                  <w:divBdr>
                    <w:top w:val="none" w:sz="0" w:space="0" w:color="auto"/>
                    <w:left w:val="none" w:sz="0" w:space="0" w:color="auto"/>
                    <w:bottom w:val="single" w:sz="6" w:space="9" w:color="DDDDDD"/>
                    <w:right w:val="none" w:sz="0" w:space="0" w:color="auto"/>
                  </w:divBdr>
                  <w:divsChild>
                    <w:div w:id="1367215442">
                      <w:marLeft w:val="0"/>
                      <w:marRight w:val="0"/>
                      <w:marTop w:val="0"/>
                      <w:marBottom w:val="0"/>
                      <w:divBdr>
                        <w:top w:val="none" w:sz="0" w:space="0" w:color="auto"/>
                        <w:left w:val="none" w:sz="0" w:space="0" w:color="auto"/>
                        <w:bottom w:val="none" w:sz="0" w:space="0" w:color="auto"/>
                        <w:right w:val="none" w:sz="0" w:space="0" w:color="auto"/>
                      </w:divBdr>
                    </w:div>
                  </w:divsChild>
                </w:div>
                <w:div w:id="1355231594">
                  <w:marLeft w:val="0"/>
                  <w:marRight w:val="0"/>
                  <w:marTop w:val="0"/>
                  <w:marBottom w:val="0"/>
                  <w:divBdr>
                    <w:top w:val="none" w:sz="0" w:space="0" w:color="auto"/>
                    <w:left w:val="none" w:sz="0" w:space="0" w:color="auto"/>
                    <w:bottom w:val="none" w:sz="0" w:space="0" w:color="auto"/>
                    <w:right w:val="none" w:sz="0" w:space="0" w:color="auto"/>
                  </w:divBdr>
                  <w:divsChild>
                    <w:div w:id="1999530557">
                      <w:marLeft w:val="8325"/>
                      <w:marRight w:val="0"/>
                      <w:marTop w:val="0"/>
                      <w:marBottom w:val="0"/>
                      <w:divBdr>
                        <w:top w:val="none" w:sz="0" w:space="0" w:color="auto"/>
                        <w:left w:val="none" w:sz="0" w:space="0" w:color="auto"/>
                        <w:bottom w:val="none" w:sz="0" w:space="0" w:color="auto"/>
                        <w:right w:val="none" w:sz="0" w:space="0" w:color="auto"/>
                      </w:divBdr>
                      <w:divsChild>
                        <w:div w:id="1769153441">
                          <w:marLeft w:val="0"/>
                          <w:marRight w:val="0"/>
                          <w:marTop w:val="0"/>
                          <w:marBottom w:val="0"/>
                          <w:divBdr>
                            <w:top w:val="none" w:sz="0" w:space="0" w:color="auto"/>
                            <w:left w:val="none" w:sz="0" w:space="0" w:color="auto"/>
                            <w:bottom w:val="none" w:sz="0" w:space="0" w:color="auto"/>
                            <w:right w:val="none" w:sz="0" w:space="0" w:color="auto"/>
                          </w:divBdr>
                          <w:divsChild>
                            <w:div w:id="735905275">
                              <w:marLeft w:val="0"/>
                              <w:marRight w:val="0"/>
                              <w:marTop w:val="0"/>
                              <w:marBottom w:val="0"/>
                              <w:divBdr>
                                <w:top w:val="none" w:sz="0" w:space="0" w:color="auto"/>
                                <w:left w:val="none" w:sz="0" w:space="0" w:color="auto"/>
                                <w:bottom w:val="none" w:sz="0" w:space="0" w:color="auto"/>
                                <w:right w:val="none" w:sz="0" w:space="0" w:color="auto"/>
                              </w:divBdr>
                              <w:divsChild>
                                <w:div w:id="1172065586">
                                  <w:marLeft w:val="0"/>
                                  <w:marRight w:val="0"/>
                                  <w:marTop w:val="0"/>
                                  <w:marBottom w:val="0"/>
                                  <w:divBdr>
                                    <w:top w:val="none" w:sz="0" w:space="0" w:color="auto"/>
                                    <w:left w:val="none" w:sz="0" w:space="0" w:color="auto"/>
                                    <w:bottom w:val="none" w:sz="0" w:space="0" w:color="auto"/>
                                    <w:right w:val="none" w:sz="0" w:space="0" w:color="auto"/>
                                  </w:divBdr>
                                </w:div>
                                <w:div w:id="2159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28096">
                      <w:marLeft w:val="0"/>
                      <w:marRight w:val="0"/>
                      <w:marTop w:val="0"/>
                      <w:marBottom w:val="0"/>
                      <w:divBdr>
                        <w:top w:val="none" w:sz="0" w:space="0" w:color="auto"/>
                        <w:left w:val="none" w:sz="0" w:space="0" w:color="auto"/>
                        <w:bottom w:val="none" w:sz="0" w:space="0" w:color="auto"/>
                        <w:right w:val="none" w:sz="0" w:space="0" w:color="auto"/>
                      </w:divBdr>
                      <w:divsChild>
                        <w:div w:id="13778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giao-duc/nghi-dinh-71-2020-nd-cp-lo-trinh-nang-trinh-do-chuan-dao-tao-giao-vien-185690-d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vietnam.vn/hanh-chinh/thong-tu-02-2007-tt-bnv-bo-noi-vu-31417-d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giao-duc/thong-tu-lien-tich-22-2015-ttlt-bgddt-bnv-bo-giao-duc-va-dao-tao-98914-d1.html" TargetMode="External"/><Relationship Id="rId11" Type="http://schemas.openxmlformats.org/officeDocument/2006/relationships/hyperlink" Target="https://luatvietnam.vn/giao-duc/thong-tu-lien-tich-22-2015-ttlt-bgddt-bnv-bo-giao-duc-va-dao-tao-98914-d1.html" TargetMode="External"/><Relationship Id="rId5" Type="http://schemas.openxmlformats.org/officeDocument/2006/relationships/hyperlink" Target="https://luatvietnam.vn/giao-duc/thong-tu-lien-tich-22-2015-ttlt-bgddt-bnv-bo-giao-duc-va-dao-tao-98914-d1.html" TargetMode="External"/><Relationship Id="rId10" Type="http://schemas.openxmlformats.org/officeDocument/2006/relationships/hyperlink" Target="https://luatvietnam.vn/giao-duc/quyet-dinh-2512-qd-bgddt-chuong-trinh-boi-duong-giao-vien-trung-hoc-co-so-hang-ii-192271-d1.html" TargetMode="External"/><Relationship Id="rId4" Type="http://schemas.openxmlformats.org/officeDocument/2006/relationships/webSettings" Target="webSettings.xml"/><Relationship Id="rId9" Type="http://schemas.openxmlformats.org/officeDocument/2006/relationships/hyperlink" Target="https://luatvietnam.vn/giao-duc/thong-tu-lien-tich-22-2015-ttlt-bgddt-bnv-bo-giao-duc-va-dao-tao-98914-d1.html"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4101</Words>
  <Characters>23381</Characters>
  <Application>Microsoft Office Word</Application>
  <DocSecurity>0</DocSecurity>
  <Lines>194</Lines>
  <Paragraphs>54</Paragraphs>
  <ScaleCrop>false</ScaleCrop>
  <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2023-02-12T00:23:00Z</dcterms:created>
  <dcterms:modified xsi:type="dcterms:W3CDTF">2023-02-12T00:37:00Z</dcterms:modified>
</cp:coreProperties>
</file>